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威海仲裁委员会秘书处</w:t>
      </w:r>
    </w:p>
    <w:p>
      <w:pPr>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2018年度政府信息公开工作年度报告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根据《中华人民共和国政府信息公开条例》（以下简称《条例》）和《山东省政府信息公开办法》（以下简称《办法》）的规定，现公布威海仲裁委员会2018年度政府</w:t>
      </w:r>
      <w:r>
        <w:rPr>
          <w:rFonts w:hint="eastAsia" w:ascii="仿宋_GB2312" w:eastAsia="仿宋_GB2312"/>
          <w:color w:val="000000"/>
          <w:sz w:val="32"/>
          <w:szCs w:val="32"/>
          <w:shd w:val="clear" w:color="auto" w:fill="FFFFFF"/>
          <w:lang w:eastAsia="zh-CN"/>
        </w:rPr>
        <w:t>信息</w:t>
      </w:r>
      <w:r>
        <w:rPr>
          <w:rFonts w:hint="eastAsia" w:ascii="仿宋_GB2312" w:eastAsia="仿宋_GB2312"/>
          <w:color w:val="000000"/>
          <w:sz w:val="32"/>
          <w:szCs w:val="32"/>
          <w:shd w:val="clear" w:color="auto" w:fill="FFFFFF"/>
        </w:rPr>
        <w:t>公开工作</w:t>
      </w:r>
      <w:r>
        <w:rPr>
          <w:rFonts w:hint="eastAsia" w:ascii="仿宋_GB2312" w:eastAsia="仿宋_GB2312"/>
          <w:color w:val="000000"/>
          <w:sz w:val="32"/>
          <w:szCs w:val="32"/>
          <w:shd w:val="clear" w:color="auto" w:fill="FFFFFF"/>
          <w:lang w:eastAsia="zh-CN"/>
        </w:rPr>
        <w:t>年度</w:t>
      </w:r>
      <w:r>
        <w:rPr>
          <w:rFonts w:hint="eastAsia" w:ascii="仿宋_GB2312" w:eastAsia="仿宋_GB2312"/>
          <w:color w:val="000000"/>
          <w:sz w:val="32"/>
          <w:szCs w:val="32"/>
          <w:shd w:val="clear" w:color="auto" w:fill="FFFFFF"/>
        </w:rPr>
        <w:t>报告。本报告由概述，政府信息公开的组织领导和制度建设情况，发布解读、回应社会关切以及互动交流情况，重点领域政府信息公开工作推进情况，主动公开政府信息及公开平台</w:t>
      </w:r>
      <w:r>
        <w:rPr>
          <w:rFonts w:hint="eastAsia" w:ascii="仿宋_GB2312" w:eastAsia="仿宋_GB2312"/>
          <w:color w:val="000000"/>
          <w:sz w:val="32"/>
          <w:szCs w:val="32"/>
          <w:shd w:val="clear" w:color="auto" w:fill="FFFFFF"/>
          <w:lang w:eastAsia="zh-CN"/>
        </w:rPr>
        <w:t>建设</w:t>
      </w:r>
      <w:r>
        <w:rPr>
          <w:rFonts w:hint="eastAsia" w:ascii="仿宋_GB2312" w:eastAsia="仿宋_GB2312"/>
          <w:color w:val="000000"/>
          <w:sz w:val="32"/>
          <w:szCs w:val="32"/>
          <w:shd w:val="clear" w:color="auto" w:fill="FFFFFF"/>
        </w:rPr>
        <w:t>情况，政府信息公开申请办理情况，政府信息公开收费及减免情况，因政府信息公开申请提起行政复议和行政诉讼的情况，政府信息公开保密审查及监督检查情况，</w:t>
      </w:r>
      <w:r>
        <w:rPr>
          <w:rFonts w:hint="eastAsia" w:ascii="仿宋_GB2312" w:eastAsia="仿宋_GB2312"/>
          <w:color w:val="000000"/>
          <w:sz w:val="32"/>
          <w:szCs w:val="32"/>
          <w:shd w:val="clear" w:color="auto" w:fill="FFFFFF"/>
          <w:lang w:eastAsia="zh-CN"/>
        </w:rPr>
        <w:t>人大代表建议、政协委员提案办理情况</w:t>
      </w:r>
      <w:r>
        <w:rPr>
          <w:rFonts w:hint="eastAsia" w:ascii="宋体" w:hAnsi="宋体"/>
          <w:sz w:val="32"/>
          <w:szCs w:val="32"/>
        </w:rPr>
        <w:t>，</w:t>
      </w:r>
      <w:r>
        <w:rPr>
          <w:rFonts w:hint="eastAsia" w:ascii="仿宋_GB2312" w:eastAsia="仿宋_GB2312"/>
          <w:color w:val="000000"/>
          <w:sz w:val="32"/>
          <w:szCs w:val="32"/>
          <w:shd w:val="clear" w:color="auto" w:fill="FFFFFF"/>
        </w:rPr>
        <w:t>政府信息公开工作存在的主要问题及改进情况，附表等十二个部分组成。</w:t>
      </w:r>
      <w:r>
        <w:rPr>
          <w:rFonts w:hint="eastAsia" w:ascii="仿宋_GB2312" w:eastAsia="仿宋_GB2312"/>
          <w:color w:val="000000"/>
          <w:sz w:val="32"/>
          <w:szCs w:val="32"/>
          <w:shd w:val="clear" w:color="auto" w:fill="FFFFFF"/>
        </w:rPr>
        <w:br w:type="textWrapping"/>
      </w:r>
      <w:r>
        <w:rPr>
          <w:rFonts w:hint="eastAsia" w:ascii="仿宋_GB2312" w:eastAsia="仿宋_GB2312"/>
          <w:color w:val="000000"/>
          <w:sz w:val="32"/>
          <w:szCs w:val="32"/>
          <w:shd w:val="clear" w:color="auto" w:fill="FFFFFF"/>
        </w:rPr>
        <w:t xml:space="preserve">    本报告中所列数据的统计期限自2018年1月1日起至2018年12月31日止。</w:t>
      </w:r>
      <w:r>
        <w:rPr>
          <w:rFonts w:hint="eastAsia" w:ascii="仿宋_GB2312" w:eastAsia="仿宋_GB2312"/>
          <w:color w:val="000000"/>
          <w:sz w:val="32"/>
          <w:szCs w:val="32"/>
          <w:shd w:val="clear" w:color="auto" w:fill="FFFFFF"/>
          <w:lang w:eastAsia="zh-CN"/>
        </w:rPr>
        <w:t>本报告的电子版可在威海市政府门户网站“中国•威海”（</w:t>
      </w:r>
      <w:r>
        <w:rPr>
          <w:rFonts w:hint="eastAsia" w:ascii="仿宋_GB2312" w:eastAsia="仿宋_GB2312"/>
          <w:color w:val="000000"/>
          <w:sz w:val="32"/>
          <w:szCs w:val="32"/>
          <w:shd w:val="clear" w:color="auto" w:fill="FFFFFF"/>
          <w:lang w:val="en-US" w:eastAsia="zh-CN"/>
        </w:rPr>
        <w:t>http：//www.weihai.gov.cn</w:t>
      </w:r>
      <w:r>
        <w:rPr>
          <w:rFonts w:hint="eastAsia" w:ascii="仿宋_GB2312" w:eastAsia="仿宋_GB2312"/>
          <w:color w:val="000000"/>
          <w:sz w:val="32"/>
          <w:szCs w:val="32"/>
          <w:shd w:val="clear" w:color="auto" w:fill="FFFFFF"/>
          <w:lang w:eastAsia="zh-CN"/>
        </w:rPr>
        <w:t>）和威海仲裁委员会门户网站（</w:t>
      </w:r>
      <w:r>
        <w:rPr>
          <w:rFonts w:hint="eastAsia" w:ascii="仿宋_GB2312" w:eastAsia="仿宋_GB2312"/>
          <w:color w:val="000000"/>
          <w:sz w:val="32"/>
          <w:szCs w:val="32"/>
          <w:shd w:val="clear" w:color="auto" w:fill="FFFFFF"/>
          <w:lang w:val="en-US" w:eastAsia="zh-CN"/>
        </w:rPr>
        <w:t>http://zcw.weihai.gov.cn</w:t>
      </w:r>
      <w:r>
        <w:rPr>
          <w:rFonts w:hint="eastAsia" w:ascii="仿宋_GB2312" w:eastAsia="仿宋_GB2312"/>
          <w:color w:val="000000"/>
          <w:sz w:val="32"/>
          <w:szCs w:val="32"/>
          <w:shd w:val="clear" w:color="auto" w:fill="FFFFFF"/>
          <w:lang w:eastAsia="zh-CN"/>
        </w:rPr>
        <w:t>）下载。</w:t>
      </w:r>
      <w:r>
        <w:rPr>
          <w:rFonts w:hint="eastAsia" w:ascii="仿宋_GB2312" w:eastAsia="仿宋_GB2312"/>
          <w:color w:val="000000"/>
          <w:sz w:val="32"/>
          <w:szCs w:val="32"/>
          <w:shd w:val="clear" w:color="auto" w:fill="FFFFFF"/>
        </w:rPr>
        <w:t>如对本报告有疑问，请与威海仲裁委员会办公室联系（地址：威海市统一路416-A号4、5层；邮编：</w:t>
      </w:r>
      <w:r>
        <w:rPr>
          <w:rFonts w:hint="eastAsia" w:ascii="仿宋_GB2312" w:eastAsia="仿宋_GB2312"/>
          <w:sz w:val="32"/>
          <w:szCs w:val="32"/>
        </w:rPr>
        <w:t>264200</w:t>
      </w:r>
      <w:r>
        <w:rPr>
          <w:rFonts w:hint="eastAsia" w:ascii="仿宋_GB2312" w:eastAsia="仿宋_GB2312"/>
          <w:color w:val="000000"/>
          <w:sz w:val="32"/>
          <w:szCs w:val="32"/>
          <w:shd w:val="clear" w:color="auto" w:fill="FFFFFF"/>
        </w:rPr>
        <w:t>；电话：0631-5800322；传真：0631-5800322）。</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1134" w:firstLineChars="0"/>
        <w:textAlignment w:val="auto"/>
        <w:rPr>
          <w:rFonts w:hint="eastAsia" w:ascii="黑体" w:hAnsi="黑体" w:eastAsia="黑体"/>
          <w:color w:val="000000"/>
          <w:sz w:val="32"/>
          <w:szCs w:val="32"/>
          <w:shd w:val="clear" w:color="auto" w:fill="FFFFFF"/>
        </w:rPr>
      </w:pPr>
      <w:r>
        <w:rPr>
          <w:rFonts w:hint="eastAsia" w:ascii="黑体" w:hAnsi="黑体" w:eastAsia="黑体"/>
          <w:color w:val="000000"/>
          <w:sz w:val="32"/>
          <w:szCs w:val="32"/>
          <w:shd w:val="clear" w:color="auto" w:fill="FFFFFF"/>
        </w:rPr>
        <w:t>概述</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威海仲裁委员会</w:t>
      </w:r>
      <w:r>
        <w:rPr>
          <w:rFonts w:hint="eastAsia" w:ascii="仿宋" w:hAnsi="仿宋" w:eastAsia="仿宋" w:cs="仿宋"/>
          <w:sz w:val="32"/>
          <w:szCs w:val="32"/>
        </w:rPr>
        <w:t>认真贯彻落实《条例》和《办法》，</w:t>
      </w:r>
      <w:r>
        <w:rPr>
          <w:rFonts w:hint="eastAsia" w:ascii="仿宋" w:hAnsi="仿宋" w:eastAsia="仿宋" w:cs="仿宋"/>
          <w:sz w:val="32"/>
          <w:szCs w:val="32"/>
          <w:lang w:eastAsia="zh-CN"/>
        </w:rPr>
        <w:t>不断创新工作方法，扎实推进政府信息公开工作。全年通过“中国威海”网站信息公开平台，威海仲裁委员会官方网站、微博、微信，市档案馆、图书馆以及电子显示屏等多种途径，主动向社会公开各类政府信息，公开范围广、涉及内容丰富，充分</w:t>
      </w:r>
      <w:r>
        <w:rPr>
          <w:rFonts w:hint="eastAsia" w:ascii="仿宋" w:hAnsi="仿宋" w:eastAsia="仿宋" w:cs="仿宋"/>
          <w:sz w:val="32"/>
          <w:szCs w:val="32"/>
        </w:rPr>
        <w:t>保障了群众知情权、参与权、表达权、监督权的实现</w:t>
      </w:r>
      <w:r>
        <w:rPr>
          <w:rFonts w:hint="eastAsia" w:ascii="仿宋" w:hAnsi="仿宋" w:eastAsia="仿宋" w:cs="仿宋"/>
          <w:sz w:val="32"/>
          <w:szCs w:val="32"/>
          <w:lang w:eastAsia="zh-CN"/>
        </w:rPr>
        <w:t>，为宣传和推动仲裁的发展发挥了重要作用。</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政府信息公开的组织领导和制度建设情况</w:t>
      </w:r>
    </w:p>
    <w:p>
      <w:pPr>
        <w:keepNext w:val="0"/>
        <w:keepLines w:val="0"/>
        <w:pageBreakBefore w:val="0"/>
        <w:widowControl w:val="0"/>
        <w:kinsoku/>
        <w:wordWrap/>
        <w:overflowPunct/>
        <w:topLinePunct w:val="0"/>
        <w:autoSpaceDE/>
        <w:autoSpaceDN/>
        <w:bidi w:val="0"/>
        <w:adjustRightInd/>
        <w:snapToGrid/>
        <w:spacing w:line="570" w:lineRule="exact"/>
        <w:ind w:firstLine="420"/>
        <w:contextualSpacing/>
        <w:textAlignment w:val="auto"/>
        <w:outlineLvl w:val="9"/>
        <w:rPr>
          <w:rFonts w:hint="eastAsia" w:ascii="仿宋" w:hAnsi="仿宋" w:eastAsia="仿宋" w:cs="仿宋"/>
          <w:sz w:val="32"/>
          <w:szCs w:val="32"/>
        </w:rPr>
      </w:pPr>
      <w:r>
        <w:rPr>
          <w:rFonts w:hint="eastAsia" w:ascii="仿宋" w:hAnsi="仿宋" w:eastAsia="仿宋" w:cs="仿宋"/>
          <w:sz w:val="32"/>
          <w:szCs w:val="32"/>
        </w:rPr>
        <w:t>（一）加强信息公开工作的统一领导。按照市政府的统一部署及规范要求，</w:t>
      </w:r>
      <w:r>
        <w:rPr>
          <w:rFonts w:hint="eastAsia" w:ascii="仿宋" w:hAnsi="仿宋" w:eastAsia="仿宋" w:cs="仿宋"/>
          <w:sz w:val="32"/>
          <w:szCs w:val="32"/>
          <w:lang w:eastAsia="zh-CN"/>
        </w:rPr>
        <w:t>进一步</w:t>
      </w:r>
      <w:r>
        <w:rPr>
          <w:rFonts w:hint="eastAsia" w:ascii="仿宋" w:hAnsi="仿宋" w:eastAsia="仿宋" w:cs="仿宋"/>
          <w:sz w:val="32"/>
          <w:szCs w:val="32"/>
        </w:rPr>
        <w:t>修订完善了</w:t>
      </w:r>
      <w:r>
        <w:rPr>
          <w:rFonts w:hint="eastAsia" w:ascii="仿宋" w:hAnsi="仿宋" w:eastAsia="仿宋" w:cs="仿宋"/>
          <w:sz w:val="32"/>
          <w:szCs w:val="32"/>
          <w:lang w:eastAsia="zh-CN"/>
        </w:rPr>
        <w:t>威海仲裁委员会</w:t>
      </w:r>
      <w:r>
        <w:rPr>
          <w:rFonts w:hint="eastAsia" w:ascii="仿宋" w:hAnsi="仿宋" w:eastAsia="仿宋" w:cs="仿宋"/>
          <w:sz w:val="32"/>
          <w:szCs w:val="32"/>
        </w:rPr>
        <w:t>政府信息公开</w:t>
      </w:r>
      <w:r>
        <w:rPr>
          <w:rFonts w:hint="eastAsia" w:ascii="仿宋" w:hAnsi="仿宋" w:eastAsia="仿宋" w:cs="仿宋"/>
          <w:sz w:val="32"/>
          <w:szCs w:val="32"/>
          <w:lang w:eastAsia="zh-CN"/>
        </w:rPr>
        <w:t>相关制度规定</w:t>
      </w:r>
      <w:r>
        <w:rPr>
          <w:rFonts w:hint="eastAsia" w:ascii="仿宋" w:hAnsi="仿宋" w:eastAsia="仿宋" w:cs="仿宋"/>
          <w:sz w:val="32"/>
          <w:szCs w:val="32"/>
        </w:rPr>
        <w:t>。</w:t>
      </w:r>
      <w:r>
        <w:rPr>
          <w:rFonts w:hint="eastAsia" w:ascii="仿宋" w:hAnsi="仿宋" w:eastAsia="仿宋" w:cs="仿宋"/>
          <w:sz w:val="32"/>
          <w:szCs w:val="32"/>
          <w:lang w:eastAsia="zh-CN"/>
        </w:rPr>
        <w:t>针对人员变化，及时调整信息公开工作领导小组成员，</w:t>
      </w:r>
      <w:r>
        <w:rPr>
          <w:rFonts w:hint="eastAsia" w:ascii="仿宋" w:hAnsi="仿宋" w:eastAsia="仿宋" w:cs="仿宋"/>
          <w:sz w:val="32"/>
          <w:szCs w:val="32"/>
        </w:rPr>
        <w:t>明确各科室职责与分工，由办公室总负责，</w:t>
      </w:r>
      <w:r>
        <w:rPr>
          <w:rFonts w:hint="eastAsia" w:ascii="仿宋" w:hAnsi="仿宋" w:eastAsia="仿宋" w:cs="仿宋"/>
          <w:sz w:val="32"/>
          <w:szCs w:val="32"/>
          <w:lang w:eastAsia="zh-CN"/>
        </w:rPr>
        <w:t>依法依规</w:t>
      </w:r>
      <w:r>
        <w:rPr>
          <w:rFonts w:hint="eastAsia" w:ascii="仿宋" w:hAnsi="仿宋" w:eastAsia="仿宋" w:cs="仿宋"/>
          <w:sz w:val="32"/>
          <w:szCs w:val="32"/>
        </w:rPr>
        <w:t>做好</w:t>
      </w:r>
      <w:r>
        <w:rPr>
          <w:rFonts w:hint="eastAsia" w:ascii="仿宋" w:hAnsi="仿宋" w:eastAsia="仿宋" w:cs="仿宋"/>
          <w:sz w:val="32"/>
          <w:szCs w:val="32"/>
          <w:lang w:eastAsia="zh-CN"/>
        </w:rPr>
        <w:t>政府</w:t>
      </w:r>
      <w:r>
        <w:rPr>
          <w:rFonts w:hint="eastAsia" w:ascii="仿宋" w:hAnsi="仿宋" w:eastAsia="仿宋" w:cs="仿宋"/>
          <w:sz w:val="32"/>
          <w:szCs w:val="32"/>
        </w:rPr>
        <w:t>信息主动公开工作以及依申请公开的回复</w:t>
      </w:r>
      <w:r>
        <w:rPr>
          <w:rFonts w:hint="eastAsia" w:ascii="仿宋" w:hAnsi="仿宋" w:eastAsia="仿宋" w:cs="仿宋"/>
          <w:sz w:val="32"/>
          <w:szCs w:val="32"/>
          <w:lang w:eastAsia="zh-CN"/>
        </w:rPr>
        <w:t>工作</w:t>
      </w:r>
      <w:r>
        <w:rPr>
          <w:rFonts w:hint="eastAsia" w:ascii="仿宋" w:hAnsi="仿宋" w:eastAsia="仿宋" w:cs="仿宋"/>
          <w:sz w:val="32"/>
          <w:szCs w:val="32"/>
        </w:rPr>
        <w:t>，促进</w:t>
      </w:r>
      <w:r>
        <w:rPr>
          <w:rFonts w:hint="eastAsia" w:ascii="仿宋" w:hAnsi="仿宋" w:eastAsia="仿宋" w:cs="仿宋"/>
          <w:sz w:val="32"/>
          <w:szCs w:val="32"/>
          <w:lang w:eastAsia="zh-CN"/>
        </w:rPr>
        <w:t>我委</w:t>
      </w:r>
      <w:r>
        <w:rPr>
          <w:rFonts w:hint="eastAsia" w:ascii="仿宋" w:hAnsi="仿宋" w:eastAsia="仿宋" w:cs="仿宋"/>
          <w:sz w:val="32"/>
          <w:szCs w:val="32"/>
        </w:rPr>
        <w:t>政府信息公开工作整体提升。</w:t>
      </w:r>
    </w:p>
    <w:p>
      <w:pPr>
        <w:keepNext w:val="0"/>
        <w:keepLines w:val="0"/>
        <w:pageBreakBefore w:val="0"/>
        <w:widowControl w:val="0"/>
        <w:kinsoku/>
        <w:wordWrap/>
        <w:overflowPunct/>
        <w:topLinePunct w:val="0"/>
        <w:autoSpaceDE/>
        <w:autoSpaceDN/>
        <w:bidi w:val="0"/>
        <w:adjustRightInd/>
        <w:snapToGrid/>
        <w:spacing w:line="570" w:lineRule="exact"/>
        <w:ind w:firstLine="420"/>
        <w:contextualSpacing/>
        <w:textAlignment w:val="auto"/>
        <w:outlineLvl w:val="9"/>
        <w:rPr>
          <w:rFonts w:hint="eastAsia" w:ascii="黑体" w:hAnsi="黑体" w:eastAsia="黑体"/>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加强制度体系建设</w:t>
      </w:r>
      <w:r>
        <w:rPr>
          <w:rFonts w:hint="eastAsia" w:ascii="仿宋" w:hAnsi="仿宋" w:eastAsia="仿宋" w:cs="仿宋"/>
          <w:sz w:val="32"/>
          <w:szCs w:val="32"/>
        </w:rPr>
        <w:t>。为细化信息公开工作流程和保密审查规定,提升政府信息公开的发布水平，修改</w:t>
      </w:r>
      <w:r>
        <w:rPr>
          <w:rFonts w:hint="eastAsia" w:ascii="仿宋" w:hAnsi="仿宋" w:eastAsia="仿宋" w:cs="仿宋"/>
          <w:sz w:val="32"/>
          <w:szCs w:val="32"/>
          <w:lang w:eastAsia="zh-CN"/>
        </w:rPr>
        <w:t>完善</w:t>
      </w:r>
      <w:r>
        <w:rPr>
          <w:rFonts w:hint="eastAsia" w:ascii="仿宋" w:hAnsi="仿宋" w:eastAsia="仿宋" w:cs="仿宋"/>
          <w:sz w:val="32"/>
          <w:szCs w:val="32"/>
        </w:rPr>
        <w:t>了《</w:t>
      </w:r>
      <w:r>
        <w:rPr>
          <w:rFonts w:hint="eastAsia" w:ascii="仿宋" w:hAnsi="仿宋" w:eastAsia="仿宋" w:cs="仿宋"/>
          <w:sz w:val="32"/>
          <w:szCs w:val="32"/>
          <w:lang w:eastAsia="zh-CN"/>
        </w:rPr>
        <w:t>威海仲裁委员会信息公开保密审查制度</w:t>
      </w:r>
      <w:r>
        <w:rPr>
          <w:rFonts w:hint="eastAsia" w:ascii="仿宋" w:hAnsi="仿宋" w:eastAsia="仿宋" w:cs="仿宋"/>
          <w:sz w:val="32"/>
          <w:szCs w:val="32"/>
        </w:rPr>
        <w:t>》，从源头上保障公开信息质量，提高信息公开管理水平。</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发布解读、回应社会关切以及互动交流情况</w:t>
      </w:r>
    </w:p>
    <w:p>
      <w:pPr>
        <w:pStyle w:val="13"/>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我单位进一步加强威海仲裁委员会网站建设和管理，综合运用文字、图像等方式，及时全面公开各类政府信息。针对公众关切的事件，主动、及时、全面、准确地发布信息，以增进公众对仲裁工作的了解和理解。与公众进行互动交流，发布网站政策解读17条，发布意见征集6条，秘书长信箱收到1条咨询。</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重点领域政府信息公开工作推进情况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在政务信息重点领域公开工作中，严格按照《条例》有关规定，加强重要政策文件，财政资金等相关信息的公开力度，做到多途径、及时发布信息，让老百姓看得到、听得懂、能监督。我委根据上级要求，主动及时公开了《</w:t>
      </w:r>
      <w:r>
        <w:rPr>
          <w:rFonts w:hint="eastAsia" w:ascii="仿宋" w:hAnsi="仿宋" w:eastAsia="仿宋" w:cs="仿宋"/>
          <w:color w:val="333333"/>
          <w:sz w:val="32"/>
          <w:szCs w:val="32"/>
          <w:u w:val="none"/>
        </w:rPr>
        <w:fldChar w:fldCharType="begin"/>
      </w:r>
      <w:r>
        <w:rPr>
          <w:rFonts w:hint="eastAsia" w:ascii="仿宋" w:hAnsi="仿宋" w:eastAsia="仿宋" w:cs="仿宋"/>
          <w:color w:val="333333"/>
          <w:sz w:val="32"/>
          <w:szCs w:val="32"/>
          <w:u w:val="none"/>
        </w:rPr>
        <w:instrText xml:space="preserve"> HYPERLINK "http://zfxxgk.weihai.gov.cn/xxgk/jcms_files/jcms1/web46/site/art/2018/1/29/art_1905_260887.html" \o "2018年威海仲裁委员会秘书处部门预算" \t "http://zfxxgk.weihai.gov.cn/xxgk/jcms_files/jcms1/web46/site/col/col1886/_blank" </w:instrText>
      </w:r>
      <w:r>
        <w:rPr>
          <w:rFonts w:hint="eastAsia" w:ascii="仿宋" w:hAnsi="仿宋" w:eastAsia="仿宋" w:cs="仿宋"/>
          <w:color w:val="333333"/>
          <w:sz w:val="32"/>
          <w:szCs w:val="32"/>
          <w:u w:val="none"/>
        </w:rPr>
        <w:fldChar w:fldCharType="separate"/>
      </w:r>
      <w:r>
        <w:rPr>
          <w:rStyle w:val="8"/>
          <w:rFonts w:hint="eastAsia" w:ascii="仿宋" w:hAnsi="仿宋" w:eastAsia="仿宋" w:cs="仿宋"/>
          <w:color w:val="333333"/>
          <w:sz w:val="32"/>
          <w:szCs w:val="32"/>
          <w:u w:val="none"/>
        </w:rPr>
        <w:t>2018年威海仲裁委员会秘书处部门预算</w:t>
      </w:r>
      <w:r>
        <w:rPr>
          <w:rFonts w:hint="eastAsia" w:ascii="仿宋" w:hAnsi="仿宋" w:eastAsia="仿宋" w:cs="仿宋"/>
          <w:color w:val="333333"/>
          <w:sz w:val="32"/>
          <w:szCs w:val="32"/>
          <w:u w:val="none"/>
        </w:rPr>
        <w:fldChar w:fldCharType="end"/>
      </w:r>
      <w:r>
        <w:rPr>
          <w:rFonts w:hint="eastAsia" w:ascii="仿宋" w:hAnsi="仿宋" w:eastAsia="仿宋" w:cs="仿宋"/>
          <w:sz w:val="32"/>
          <w:szCs w:val="32"/>
          <w:lang w:eastAsia="zh-CN"/>
        </w:rPr>
        <w:t>》等相关信息。</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主动公开政府信息及平台</w:t>
      </w:r>
      <w:r>
        <w:rPr>
          <w:rFonts w:hint="eastAsia" w:ascii="黑体" w:hAnsi="黑体" w:eastAsia="黑体"/>
          <w:color w:val="000000"/>
          <w:sz w:val="32"/>
          <w:szCs w:val="32"/>
          <w:shd w:val="clear" w:color="auto" w:fill="FFFFFF"/>
          <w:lang w:eastAsia="zh-CN"/>
        </w:rPr>
        <w:t>建设</w:t>
      </w:r>
      <w:r>
        <w:rPr>
          <w:rFonts w:hint="eastAsia" w:ascii="黑体" w:hAnsi="黑体" w:eastAsia="黑体"/>
          <w:color w:val="000000"/>
          <w:sz w:val="32"/>
          <w:szCs w:val="32"/>
          <w:shd w:val="clear" w:color="auto" w:fill="FFFFFF"/>
        </w:rPr>
        <w:t>情况</w:t>
      </w:r>
    </w:p>
    <w:p>
      <w:pPr>
        <w:pStyle w:val="13"/>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eastAsia="zh-CN"/>
        </w:rPr>
        <w:t>政府信息公开情况：</w:t>
      </w:r>
      <w:r>
        <w:rPr>
          <w:rFonts w:hint="eastAsia" w:ascii="仿宋" w:hAnsi="仿宋" w:eastAsia="仿宋" w:cs="仿宋"/>
          <w:b w:val="0"/>
          <w:bCs w:val="0"/>
          <w:sz w:val="32"/>
          <w:szCs w:val="32"/>
          <w:lang w:val="en-US" w:eastAsia="zh-CN"/>
        </w:rPr>
        <w:t>2018年度，威海仲裁委员会主动公开政府信息535条。通过官方微博公开政府信息238条、微信公开91条。在部门网站和市政府门户网站即时同步公开政府信息。</w:t>
      </w:r>
    </w:p>
    <w:p>
      <w:pPr>
        <w:pStyle w:val="13"/>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平台建设情况：</w:t>
      </w:r>
      <w:r>
        <w:rPr>
          <w:rFonts w:hint="eastAsia" w:ascii="仿宋" w:hAnsi="仿宋" w:eastAsia="仿宋" w:cs="仿宋"/>
          <w:b w:val="0"/>
          <w:bCs w:val="0"/>
          <w:sz w:val="32"/>
          <w:szCs w:val="32"/>
          <w:lang w:val="en-US" w:eastAsia="zh-CN"/>
        </w:rPr>
        <w:t>一是政府网站建设。把“中国威海”网站政府信息公开板块作为威海仲裁委员会信息公开工作的主要平台，注重日常内容的及时更新。二是门户网站建设。加强威海仲裁委员会门户网站维护，及时、主动更新完善工作动态等栏目。同时，按照政务信息公开工作的考核要求，修改版面，增加了秘书长信箱、热点回应等栏目，拓宽意见反馈渠道，广泛征求公众意见。三是媒体平台建设。深化与威海电视台的合作交流，2018年下半年与威海电视台合作拍摄了三期《仲裁时刻》，并于每月在威海新闻综合频道播出。在节目中，剖析仲裁案例、解读仲裁法规、普及仲裁文化、宣传仲裁制度，得到了社会的普遍关注与肯定。</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政府信息公开申请办理情况</w:t>
      </w:r>
    </w:p>
    <w:p>
      <w:pPr>
        <w:pStyle w:val="13"/>
        <w:ind w:firstLine="640"/>
        <w:rPr>
          <w:rFonts w:hint="eastAsia" w:ascii="仿宋" w:hAnsi="仿宋" w:eastAsia="仿宋" w:cs="仿宋"/>
          <w:sz w:val="32"/>
          <w:szCs w:val="32"/>
        </w:rPr>
      </w:pPr>
      <w:r>
        <w:rPr>
          <w:rFonts w:hint="eastAsia" w:ascii="仿宋" w:hAnsi="仿宋" w:eastAsia="仿宋" w:cs="仿宋"/>
          <w:sz w:val="32"/>
          <w:szCs w:val="32"/>
          <w:lang w:eastAsia="zh-CN"/>
        </w:rPr>
        <w:t>全年共受理依申请公开政府信息公开申请</w:t>
      </w:r>
      <w:r>
        <w:rPr>
          <w:rFonts w:hint="eastAsia" w:ascii="仿宋" w:hAnsi="仿宋" w:eastAsia="仿宋" w:cs="仿宋"/>
          <w:sz w:val="32"/>
          <w:szCs w:val="32"/>
          <w:lang w:val="en-US" w:eastAsia="zh-CN"/>
        </w:rPr>
        <w:t>2件（其中，以网络电子渠道提出的申请1件，以信函方式提出的申请1件），已主动公开2件。</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政府信息公开收费及减免情况</w:t>
      </w:r>
    </w:p>
    <w:p>
      <w:pPr>
        <w:pStyle w:val="13"/>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在政府信息公开过程中，威海仲裁委员会始终坚持为民、便民、利民的原则，本年度根据申请人要求，我们以电子邮件和挂号信、邮政快递等途径进行了答复，未向申请人收取任何费用。</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因政府信息公开申请行政复议和提起行政诉讼的情况</w:t>
      </w:r>
    </w:p>
    <w:p>
      <w:pPr>
        <w:pStyle w:val="13"/>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黑体" w:hAnsi="黑体" w:eastAsia="黑体"/>
          <w:sz w:val="32"/>
          <w:szCs w:val="32"/>
        </w:rPr>
      </w:pPr>
      <w:r>
        <w:rPr>
          <w:rFonts w:hint="eastAsia" w:ascii="仿宋" w:hAnsi="仿宋" w:eastAsia="仿宋" w:cs="仿宋"/>
          <w:sz w:val="32"/>
          <w:szCs w:val="32"/>
          <w:lang w:eastAsia="zh-CN"/>
        </w:rPr>
        <w:t>本年度，未发生关于政府信息公开的行政复议和行政诉讼的案件。</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政府信息公开保密审查及监督检查情况</w:t>
      </w:r>
    </w:p>
    <w:p>
      <w:pPr>
        <w:pStyle w:val="13"/>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sz w:val="32"/>
          <w:szCs w:val="32"/>
        </w:rPr>
      </w:pPr>
      <w:r>
        <w:rPr>
          <w:rFonts w:hint="eastAsia" w:ascii="仿宋" w:hAnsi="仿宋" w:eastAsia="仿宋" w:cs="仿宋"/>
          <w:sz w:val="32"/>
          <w:szCs w:val="32"/>
          <w:lang w:eastAsia="zh-CN"/>
        </w:rPr>
        <w:t>根据《威海仲裁委员会秘书处政府信息公开工作制度》、《信息公开保密审查制度》等规定，规范了我委政府信息公开保密审查流程，建立了工作人员、科室负责人、分管领导三级审核机制，明确责任，严格对拟公开的政府信息进行保密审查，确保公开信息的规范性、时效性、保密性，至今未发生泄密情况。</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Style w:val="12"/>
          <w:rFonts w:hint="eastAsia" w:ascii="黑体" w:hAnsi="黑体" w:eastAsia="黑体" w:cs="黑体"/>
          <w:color w:val="auto"/>
          <w:sz w:val="32"/>
          <w:szCs w:val="32"/>
        </w:rPr>
      </w:pPr>
      <w:r>
        <w:rPr>
          <w:rFonts w:hint="eastAsia" w:ascii="黑体" w:hAnsi="黑体" w:eastAsia="黑体" w:cs="黑体"/>
          <w:color w:val="000000"/>
          <w:sz w:val="32"/>
          <w:szCs w:val="32"/>
          <w:shd w:val="clear" w:color="auto" w:fill="FFFFFF"/>
          <w:lang w:eastAsia="zh-CN"/>
        </w:rPr>
        <w:t>人大代表建议、政协委员提案办理情况</w:t>
      </w:r>
    </w:p>
    <w:p>
      <w:pPr>
        <w:pStyle w:val="13"/>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Style w:val="12"/>
          <w:rFonts w:hint="eastAsia" w:ascii="仿宋" w:hAnsi="仿宋" w:eastAsia="仿宋" w:cs="仿宋"/>
          <w:color w:val="auto"/>
          <w:sz w:val="32"/>
          <w:szCs w:val="32"/>
          <w:lang w:val="en-US" w:eastAsia="zh-CN"/>
        </w:rPr>
      </w:pPr>
      <w:r>
        <w:rPr>
          <w:rFonts w:hint="eastAsia" w:ascii="仿宋" w:hAnsi="仿宋" w:eastAsia="仿宋" w:cs="仿宋"/>
          <w:color w:val="000000"/>
          <w:sz w:val="32"/>
          <w:szCs w:val="32"/>
          <w:shd w:val="clear" w:color="auto" w:fill="FFFFFF"/>
          <w:lang w:val="en-US" w:eastAsia="zh-CN"/>
        </w:rPr>
        <w:t>2018年，我委收到政协委员提案共1件，人大代表建议0件。</w:t>
      </w:r>
      <w:r>
        <w:rPr>
          <w:rFonts w:hint="eastAsia" w:ascii="仿宋" w:hAnsi="仿宋" w:eastAsia="仿宋" w:cs="仿宋"/>
          <w:sz w:val="32"/>
          <w:szCs w:val="32"/>
        </w:rPr>
        <w:t>关于建立建设工程合同纠纷调解机构的建议</w:t>
      </w:r>
      <w:r>
        <w:rPr>
          <w:rFonts w:hint="eastAsia" w:ascii="仿宋" w:hAnsi="仿宋" w:eastAsia="仿宋" w:cs="仿宋"/>
          <w:sz w:val="32"/>
          <w:szCs w:val="32"/>
          <w:lang w:eastAsia="zh-CN"/>
        </w:rPr>
        <w:t>。已面复政协委员，得到提案委员的认可。</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政府信息公开工作存在的主要问题及改进情况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9"/>
        <w:rPr>
          <w:rFonts w:hint="eastAsia" w:ascii="黑体" w:hAnsi="黑体" w:eastAsia="黑体"/>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威海仲裁委员会</w:t>
      </w:r>
      <w:r>
        <w:rPr>
          <w:rFonts w:hint="eastAsia" w:ascii="仿宋_GB2312" w:hAnsi="仿宋_GB2312" w:eastAsia="仿宋_GB2312" w:cs="仿宋_GB2312"/>
          <w:sz w:val="32"/>
          <w:szCs w:val="32"/>
        </w:rPr>
        <w:t>的政府信息公开工作取得了</w:t>
      </w:r>
      <w:r>
        <w:rPr>
          <w:rFonts w:hint="eastAsia" w:ascii="仿宋_GB2312" w:hAnsi="仿宋_GB2312" w:eastAsia="仿宋_GB2312" w:cs="仿宋_GB2312"/>
          <w:sz w:val="32"/>
          <w:szCs w:val="32"/>
          <w:lang w:eastAsia="zh-CN"/>
        </w:rPr>
        <w:t>新进展</w:t>
      </w:r>
      <w:r>
        <w:rPr>
          <w:rFonts w:hint="eastAsia" w:ascii="仿宋_GB2312" w:hAnsi="仿宋_GB2312" w:eastAsia="仿宋_GB2312" w:cs="仿宋_GB2312"/>
          <w:sz w:val="32"/>
          <w:szCs w:val="32"/>
        </w:rPr>
        <w:t>，但仍存在主动公开政府信息不够丰富，</w:t>
      </w:r>
      <w:r>
        <w:rPr>
          <w:rFonts w:hint="eastAsia" w:ascii="仿宋_GB2312" w:hAnsi="仿宋_GB2312" w:eastAsia="仿宋_GB2312" w:cs="仿宋_GB2312"/>
          <w:sz w:val="32"/>
          <w:szCs w:val="32"/>
          <w:lang w:eastAsia="zh-CN"/>
        </w:rPr>
        <w:t>发布信息的数量需要进一步增加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信息公开的渠道需进一步拓宽；</w:t>
      </w:r>
      <w:r>
        <w:rPr>
          <w:rFonts w:hint="eastAsia" w:ascii="仿宋_GB2312" w:hAnsi="仿宋_GB2312" w:eastAsia="仿宋_GB2312" w:cs="仿宋_GB2312"/>
          <w:sz w:val="32"/>
          <w:szCs w:val="32"/>
        </w:rPr>
        <w:t>下一步，我们</w:t>
      </w:r>
      <w:r>
        <w:rPr>
          <w:rFonts w:hint="eastAsia" w:ascii="仿宋_GB2312" w:hAnsi="仿宋_GB2312" w:eastAsia="仿宋_GB2312" w:cs="仿宋_GB2312"/>
          <w:sz w:val="32"/>
          <w:szCs w:val="32"/>
          <w:lang w:eastAsia="zh-CN"/>
        </w:rPr>
        <w:t>会进一步</w:t>
      </w:r>
      <w:r>
        <w:rPr>
          <w:rFonts w:hint="eastAsia" w:ascii="仿宋_GB2312" w:hAnsi="仿宋_GB2312" w:eastAsia="仿宋_GB2312" w:cs="仿宋_GB2312"/>
          <w:sz w:val="32"/>
          <w:szCs w:val="32"/>
        </w:rPr>
        <w:t>组织召开业务培训会，</w:t>
      </w:r>
      <w:r>
        <w:rPr>
          <w:rFonts w:hint="eastAsia" w:ascii="仿宋_GB2312" w:hAnsi="仿宋_GB2312" w:eastAsia="仿宋_GB2312" w:cs="仿宋_GB2312"/>
          <w:sz w:val="32"/>
          <w:szCs w:val="32"/>
          <w:lang w:eastAsia="zh-CN"/>
        </w:rPr>
        <w:t>本着“以公开为常，不公开为例外”的原则，依法依规扩大信息公开范围，确保群众的知情权。</w:t>
      </w:r>
    </w:p>
    <w:p>
      <w:pPr>
        <w:pStyle w:val="13"/>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textAlignment w:val="auto"/>
        <w:rPr>
          <w:rFonts w:hint="eastAsia" w:ascii="黑体" w:hAnsi="黑体" w:eastAsia="黑体"/>
          <w:sz w:val="32"/>
          <w:szCs w:val="32"/>
        </w:rPr>
      </w:pPr>
      <w:r>
        <w:rPr>
          <w:rFonts w:hint="eastAsia" w:ascii="黑体" w:hAnsi="黑体" w:eastAsia="黑体"/>
          <w:color w:val="000000"/>
          <w:sz w:val="32"/>
          <w:szCs w:val="32"/>
          <w:shd w:val="clear" w:color="auto" w:fill="FFFFFF"/>
        </w:rPr>
        <w:t>附表</w:t>
      </w:r>
    </w:p>
    <w:p>
      <w:pPr>
        <w:pStyle w:val="13"/>
        <w:keepNext w:val="0"/>
        <w:keepLines w:val="0"/>
        <w:pageBreakBefore w:val="0"/>
        <w:widowControl w:val="0"/>
        <w:numPr>
          <w:numId w:val="0"/>
        </w:numPr>
        <w:kinsoku/>
        <w:wordWrap/>
        <w:overflowPunct/>
        <w:topLinePunct w:val="0"/>
        <w:autoSpaceDE/>
        <w:autoSpaceDN/>
        <w:bidi w:val="0"/>
        <w:adjustRightInd/>
        <w:snapToGrid/>
        <w:ind w:leftChars="200"/>
        <w:textAlignment w:val="auto"/>
        <w:rPr>
          <w:rFonts w:hint="eastAsia" w:ascii="黑体" w:hAnsi="黑体" w:eastAsia="黑体"/>
          <w:sz w:val="32"/>
          <w:szCs w:val="32"/>
        </w:rPr>
      </w:pPr>
      <w:bookmarkStart w:id="0" w:name="_GoBack"/>
      <w:bookmarkEnd w:id="0"/>
    </w:p>
    <w:p>
      <w:pPr>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政府信息公开工作情况统计表</w:t>
      </w:r>
      <w:r>
        <w:rPr>
          <w:rFonts w:hint="eastAsia" w:ascii="楷体_GB2312" w:hAnsi="楷体_GB2312" w:eastAsia="楷体_GB2312" w:cs="楷体_GB2312"/>
          <w:sz w:val="32"/>
          <w:szCs w:val="32"/>
          <w:lang w:eastAsia="zh-CN"/>
        </w:rPr>
        <w:t>（威海仲裁委员会）</w:t>
      </w:r>
    </w:p>
    <w:p>
      <w:pPr>
        <w:jc w:val="center"/>
        <w:rPr>
          <w:rFonts w:hint="eastAsia" w:ascii="楷体_GB2312" w:hAnsi="楷体_GB2312" w:eastAsia="楷体_GB2312"/>
          <w:bCs/>
          <w:sz w:val="28"/>
          <w:szCs w:val="28"/>
        </w:rPr>
      </w:pPr>
      <w:r>
        <w:rPr>
          <w:rFonts w:hint="eastAsia" w:ascii="楷体_GB2312" w:hAnsi="楷体_GB2312" w:eastAsia="楷体_GB2312"/>
          <w:bCs/>
          <w:sz w:val="28"/>
          <w:szCs w:val="28"/>
        </w:rPr>
        <w:t>（</w:t>
      </w:r>
      <w:r>
        <w:rPr>
          <w:rFonts w:ascii="楷体_GB2312" w:hAnsi="楷体_GB2312" w:eastAsia="楷体_GB2312"/>
          <w:bCs/>
          <w:sz w:val="28"/>
          <w:szCs w:val="28"/>
        </w:rPr>
        <w:t>201</w:t>
      </w:r>
      <w:r>
        <w:rPr>
          <w:rFonts w:hint="eastAsia" w:ascii="楷体_GB2312" w:hAnsi="楷体_GB2312" w:eastAsia="楷体_GB2312"/>
          <w:bCs/>
          <w:sz w:val="28"/>
          <w:szCs w:val="28"/>
          <w:lang w:val="en-US" w:eastAsia="zh-CN"/>
        </w:rPr>
        <w:t>8</w:t>
      </w:r>
      <w:r>
        <w:rPr>
          <w:rFonts w:hint="eastAsia" w:ascii="楷体_GB2312" w:hAnsi="楷体_GB2312" w:eastAsia="楷体_GB2312"/>
          <w:bCs/>
          <w:sz w:val="28"/>
          <w:szCs w:val="28"/>
        </w:rPr>
        <w:t>年度）</w:t>
      </w:r>
    </w:p>
    <w:tbl>
      <w:tblPr>
        <w:tblStyle w:val="11"/>
        <w:tblW w:w="9450"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7433"/>
        <w:gridCol w:w="1002"/>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rHeight w:val="340" w:hRule="atLeast"/>
          <w:tblHeader/>
          <w:jc w:val="center"/>
        </w:trPr>
        <w:tc>
          <w:tcPr>
            <w:tcW w:w="7433" w:type="dxa"/>
            <w:shd w:val="clear" w:color="auto" w:fill="FFFFFF"/>
            <w:noWrap w:val="0"/>
            <w:vAlign w:val="center"/>
          </w:tcPr>
          <w:p>
            <w:pPr>
              <w:widowControl/>
              <w:spacing w:line="300" w:lineRule="exact"/>
              <w:ind w:firstLine="685"/>
              <w:jc w:val="center"/>
              <w:rPr>
                <w:rFonts w:hint="eastAsia" w:ascii="黑体" w:hAnsi="宋体" w:eastAsia="黑体" w:cs="宋体"/>
                <w:color w:val="000000"/>
                <w:kern w:val="0"/>
                <w:sz w:val="24"/>
                <w:szCs w:val="24"/>
              </w:rPr>
            </w:pPr>
            <w:r>
              <w:rPr>
                <w:rFonts w:hint="eastAsia" w:ascii="黑体" w:hAnsi="宋体" w:eastAsia="黑体" w:cs="宋体"/>
                <w:bCs/>
                <w:color w:val="000000"/>
                <w:kern w:val="0"/>
                <w:sz w:val="24"/>
                <w:szCs w:val="24"/>
              </w:rPr>
              <w:t>统　计　指　标</w:t>
            </w:r>
          </w:p>
        </w:tc>
        <w:tc>
          <w:tcPr>
            <w:tcW w:w="1002" w:type="dxa"/>
            <w:shd w:val="clear" w:color="auto" w:fill="FFFFFF"/>
            <w:noWrap w:val="0"/>
            <w:vAlign w:val="center"/>
          </w:tcPr>
          <w:p>
            <w:pPr>
              <w:spacing w:line="300" w:lineRule="exact"/>
              <w:jc w:val="center"/>
              <w:rPr>
                <w:rFonts w:hint="eastAsia" w:ascii="黑体" w:hAnsi="宋体" w:eastAsia="黑体" w:cs="宋体"/>
                <w:color w:val="000000"/>
                <w:sz w:val="24"/>
                <w:szCs w:val="24"/>
              </w:rPr>
            </w:pPr>
            <w:r>
              <w:rPr>
                <w:rFonts w:hint="eastAsia" w:ascii="黑体" w:hAnsi="宋体" w:eastAsia="黑体"/>
                <w:bCs/>
                <w:color w:val="000000"/>
                <w:sz w:val="24"/>
                <w:szCs w:val="24"/>
              </w:rPr>
              <w:t>单位</w:t>
            </w:r>
          </w:p>
        </w:tc>
        <w:tc>
          <w:tcPr>
            <w:tcW w:w="1015" w:type="dxa"/>
            <w:shd w:val="clear" w:color="auto" w:fill="FFFFFF"/>
            <w:noWrap w:val="0"/>
            <w:vAlign w:val="center"/>
          </w:tcPr>
          <w:p>
            <w:pPr>
              <w:spacing w:line="300" w:lineRule="exact"/>
              <w:jc w:val="center"/>
              <w:rPr>
                <w:rFonts w:hint="eastAsia" w:ascii="黑体" w:hAnsi="宋体" w:eastAsia="黑体" w:cs="宋体"/>
                <w:color w:val="000000"/>
                <w:sz w:val="24"/>
                <w:szCs w:val="24"/>
              </w:rPr>
            </w:pPr>
            <w:r>
              <w:rPr>
                <w:rFonts w:hint="eastAsia" w:ascii="黑体" w:hAnsi="宋体" w:eastAsia="黑体"/>
                <w:bCs/>
                <w:color w:val="000000"/>
                <w:sz w:val="24"/>
                <w:szCs w:val="24"/>
              </w:rPr>
              <w:t>统计数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黑体" w:hAnsi="宋体" w:eastAsia="黑体" w:cs="宋体"/>
                <w:color w:val="000000"/>
                <w:szCs w:val="21"/>
              </w:rPr>
            </w:pPr>
            <w:r>
              <w:rPr>
                <w:rFonts w:hint="eastAsia" w:ascii="黑体" w:hAnsi="宋体" w:eastAsia="黑体"/>
                <w:color w:val="000000"/>
                <w:szCs w:val="21"/>
              </w:rPr>
              <w:t>一、主动公开情况</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p>
        </w:tc>
        <w:tc>
          <w:tcPr>
            <w:tcW w:w="1015" w:type="dxa"/>
            <w:shd w:val="clear" w:color="auto" w:fill="FFFFFF"/>
            <w:noWrap w:val="0"/>
            <w:vAlign w:val="center"/>
          </w:tcPr>
          <w:p>
            <w:pPr>
              <w:spacing w:line="300" w:lineRule="exact"/>
              <w:rPr>
                <w:rFonts w:ascii="宋体" w:hAnsi="宋体" w:eastAsia="仿宋" w:cs="宋体"/>
                <w:color w:val="000000"/>
                <w:sz w:val="21"/>
                <w:szCs w:val="21"/>
              </w:rPr>
            </w:pPr>
            <w:r>
              <w:rPr>
                <w:rFonts w:ascii="宋体" w:hAnsi="宋体" w:eastAsia="仿宋"/>
                <w:color w:val="000000"/>
                <w:sz w:val="21"/>
                <w:szCs w:val="21"/>
              </w:rPr>
              <w:t>　　</w:t>
            </w:r>
            <w:r>
              <w:rPr>
                <w:rFonts w:hint="eastAsia" w:ascii="宋体" w:hAnsi="宋体" w:eastAsia="仿宋"/>
                <w:color w:val="000000"/>
                <w:sz w:val="21"/>
                <w:szCs w:val="21"/>
                <w:lang w:val="en-US" w:eastAsia="zh-CN"/>
              </w:rPr>
              <w:t>535</w:t>
            </w:r>
            <w:r>
              <w:rPr>
                <w:rFonts w:ascii="宋体" w:hAnsi="宋体" w:eastAsia="仿宋"/>
                <w:color w:val="00000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（一）主动公开政府信息数</w:t>
            </w:r>
            <w:r>
              <w:rPr>
                <w:rFonts w:hint="eastAsia" w:ascii="宋体" w:hAnsi="宋体"/>
                <w:color w:val="000000"/>
                <w:sz w:val="20"/>
              </w:rPr>
              <w:t>（不同渠道和方式公开相同信息计1条）</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其中：主动公开规范性文件数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制发规范性文件总数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（二）通过不同渠道和方式公开政府信息的情况</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1.政府公报公开政府信息数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2.政府网站公开政府信息数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3.政务微博公开政府信息数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4.政务微信公开政府信息数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5.其他方式公开政府信息数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二、回应解读情况（不同方式回应同一热点或舆情计1次）</w:t>
            </w:r>
          </w:p>
        </w:tc>
        <w:tc>
          <w:tcPr>
            <w:tcW w:w="1002" w:type="dxa"/>
            <w:shd w:val="clear" w:color="auto" w:fill="FFFFFF"/>
            <w:noWrap w:val="0"/>
            <w:vAlign w:val="center"/>
          </w:tcPr>
          <w:p>
            <w:pPr>
              <w:spacing w:line="300" w:lineRule="exact"/>
              <w:jc w:val="center"/>
              <w:rPr>
                <w:rFonts w:hint="eastAsia" w:ascii="宋体" w:hAnsi="宋体"/>
                <w:color w:val="000000"/>
                <w:sz w:val="20"/>
              </w:rPr>
            </w:pPr>
          </w:p>
        </w:tc>
        <w:tc>
          <w:tcPr>
            <w:tcW w:w="1015" w:type="dxa"/>
            <w:shd w:val="clear" w:color="auto" w:fill="FFFFFF"/>
            <w:noWrap w:val="0"/>
            <w:vAlign w:val="center"/>
          </w:tcPr>
          <w:p>
            <w:pPr>
              <w:spacing w:line="300" w:lineRule="exact"/>
              <w:jc w:val="center"/>
              <w:rPr>
                <w:rFonts w:ascii="黑体" w:hAnsi="宋体" w:eastAsia="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widowControl/>
              <w:spacing w:line="300" w:lineRule="exact"/>
              <w:ind w:firstLine="400" w:firstLineChars="200"/>
              <w:jc w:val="left"/>
              <w:rPr>
                <w:rFonts w:ascii="宋体" w:hAnsi="宋体"/>
                <w:color w:val="000000"/>
                <w:sz w:val="20"/>
              </w:rPr>
            </w:pPr>
            <w:r>
              <w:rPr>
                <w:rFonts w:ascii="宋体" w:hAnsi="宋体"/>
                <w:color w:val="000000"/>
                <w:sz w:val="20"/>
              </w:rPr>
              <w:t>（一）回应公众关注热点或重大舆情数（不同方式回应同一热点或舆情计1次）</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（二）通过不同渠道和方式回应解读的情况</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1.参加或举办新闻发布会总次数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5"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其中：主要负责同志参加新闻发布会次数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2.政府网站在线访谈次数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其中：主要负责同志参加政府网站在线访谈次数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3.政策解读稿件发布数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篇</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olor w:val="000000"/>
                <w:sz w:val="21"/>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4.微博微信回应事件数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5.其他方式回应事件数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三、依申请公开情况</w:t>
            </w:r>
          </w:p>
        </w:tc>
        <w:tc>
          <w:tcPr>
            <w:tcW w:w="1002" w:type="dxa"/>
            <w:shd w:val="clear" w:color="auto" w:fill="FFFFFF"/>
            <w:noWrap w:val="0"/>
            <w:vAlign w:val="center"/>
          </w:tcPr>
          <w:p>
            <w:pPr>
              <w:spacing w:line="300" w:lineRule="exact"/>
              <w:jc w:val="center"/>
              <w:rPr>
                <w:rFonts w:hint="eastAsia" w:ascii="宋体" w:hAnsi="宋体"/>
                <w:color w:val="000000"/>
                <w:sz w:val="20"/>
              </w:rPr>
            </w:pPr>
          </w:p>
        </w:tc>
        <w:tc>
          <w:tcPr>
            <w:tcW w:w="1015" w:type="dxa"/>
            <w:shd w:val="clear" w:color="auto" w:fill="FFFFFF"/>
            <w:noWrap w:val="0"/>
            <w:vAlign w:val="center"/>
          </w:tcPr>
          <w:p>
            <w:pPr>
              <w:spacing w:line="300" w:lineRule="exact"/>
              <w:jc w:val="center"/>
              <w:rPr>
                <w:rFonts w:ascii="黑体" w:hAnsi="宋体" w:eastAsia="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（一）收到申请数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1.当面申请数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2.传真申请数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3.网络申请数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4.信函申请数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宋体" w:hAnsi="宋体"/>
                <w:color w:val="000000"/>
                <w:sz w:val="20"/>
              </w:rPr>
            </w:pPr>
            <w:r>
              <w:rPr>
                <w:rFonts w:ascii="宋体" w:hAnsi="宋体"/>
                <w:color w:val="000000"/>
                <w:sz w:val="20"/>
              </w:rPr>
              <w:t>　　　　　</w:t>
            </w:r>
            <w:r>
              <w:rPr>
                <w:rFonts w:hint="eastAsia" w:ascii="宋体" w:hAnsi="宋体"/>
                <w:color w:val="000000"/>
                <w:sz w:val="20"/>
              </w:rPr>
              <w:t>5.其他形式</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（二）申请办结数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1.按时办结数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2.延期办结数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（三）申请答复数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1.属于已主动公开范围数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2.同意公开答复数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3.同意部分公开答复数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4.不同意公开答复数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其中：涉及国家秘密</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涉及商业秘密</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涉及个人隐私</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危及国家安全、公共安全、经济安全和社会稳定</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不是《条例》所指政府信息</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法律法规规定的其他情形</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5.不属于本行政机关公开数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6.申请信息不存在数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7.告知作出更改补充数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8.告知通过其他途径办理数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四、行政复议数量</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（一）维持具体行政行为数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（二）被依法纠错数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（三）其他情形数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五、行政诉讼数量</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（一）维持具体行政行为或者驳回原告诉讼请求数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（二）被依法纠错数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（三）其他情形数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六、被举报投诉数量</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ascii="宋体" w:hAnsi="宋体"/>
                <w:color w:val="000000"/>
                <w:sz w:val="20"/>
              </w:rPr>
            </w:pPr>
            <w:r>
              <w:rPr>
                <w:rFonts w:ascii="宋体" w:hAnsi="宋体"/>
                <w:color w:val="000000"/>
                <w:sz w:val="20"/>
              </w:rPr>
              <w:t>　　（一）维持具体行政行为数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ascii="宋体" w:hAnsi="宋体"/>
                <w:color w:val="000000"/>
                <w:sz w:val="20"/>
              </w:rPr>
            </w:pPr>
            <w:r>
              <w:rPr>
                <w:rFonts w:ascii="宋体" w:hAnsi="宋体"/>
                <w:color w:val="000000"/>
                <w:sz w:val="20"/>
              </w:rPr>
              <w:t>　　（二）被纠错数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ascii="宋体" w:hAnsi="宋体"/>
                <w:color w:val="000000"/>
                <w:sz w:val="20"/>
              </w:rPr>
            </w:pPr>
            <w:r>
              <w:rPr>
                <w:rFonts w:ascii="宋体" w:hAnsi="宋体"/>
                <w:color w:val="000000"/>
                <w:sz w:val="20"/>
              </w:rPr>
              <w:t>　　（三）其他情形数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件</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七、向图书馆、档案馆等查阅场所报送信息数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hint="eastAsia" w:ascii="宋体" w:hAnsi="宋体"/>
                <w:color w:val="000000"/>
                <w:sz w:val="20"/>
              </w:rPr>
            </w:pPr>
            <w:r>
              <w:rPr>
                <w:rFonts w:ascii="宋体" w:hAnsi="宋体"/>
                <w:color w:val="000000"/>
                <w:sz w:val="20"/>
              </w:rPr>
              <w:t>　　（一）</w:t>
            </w:r>
            <w:r>
              <w:rPr>
                <w:rFonts w:hint="eastAsia" w:ascii="宋体" w:hAnsi="宋体"/>
                <w:color w:val="000000"/>
                <w:sz w:val="20"/>
              </w:rPr>
              <w:t>纸质文件数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hint="eastAsia" w:ascii="宋体" w:hAnsi="宋体"/>
                <w:color w:val="000000"/>
                <w:sz w:val="20"/>
              </w:rPr>
            </w:pPr>
            <w:r>
              <w:rPr>
                <w:rFonts w:ascii="宋体" w:hAnsi="宋体"/>
                <w:color w:val="000000"/>
                <w:sz w:val="20"/>
              </w:rPr>
              <w:t>　　（二）</w:t>
            </w:r>
            <w:r>
              <w:rPr>
                <w:rFonts w:hint="eastAsia" w:ascii="宋体" w:hAnsi="宋体"/>
                <w:color w:val="000000"/>
                <w:sz w:val="20"/>
              </w:rPr>
              <w:t>电子文件数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条</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ascii="黑体" w:hAnsi="宋体" w:eastAsia="黑体"/>
                <w:color w:val="000000"/>
                <w:szCs w:val="21"/>
              </w:rPr>
            </w:pPr>
            <w:r>
              <w:rPr>
                <w:rFonts w:hint="eastAsia" w:ascii="黑体" w:hAnsi="宋体" w:eastAsia="黑体"/>
                <w:color w:val="000000"/>
                <w:szCs w:val="21"/>
              </w:rPr>
              <w:t>八、开通政府信息公开网站（或设立门户网站信息公开专栏）数</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rPr>
                <w:rFonts w:ascii="宋体" w:hAnsi="宋体"/>
                <w:color w:val="000000"/>
                <w:sz w:val="20"/>
              </w:rPr>
            </w:pPr>
            <w:r>
              <w:rPr>
                <w:rFonts w:ascii="宋体" w:hAnsi="宋体"/>
                <w:color w:val="000000"/>
                <w:sz w:val="20"/>
              </w:rPr>
              <w:t>　　（一）</w:t>
            </w:r>
            <w:r>
              <w:rPr>
                <w:rFonts w:hint="eastAsia" w:ascii="宋体" w:hAnsi="宋体"/>
                <w:color w:val="000000"/>
                <w:sz w:val="20"/>
              </w:rPr>
              <w:t>市政府及其部门门户网站</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二</w:t>
            </w:r>
            <w:r>
              <w:rPr>
                <w:rFonts w:ascii="宋体" w:hAnsi="宋体"/>
                <w:color w:val="000000"/>
                <w:sz w:val="20"/>
              </w:rPr>
              <w:t>）</w:t>
            </w:r>
            <w:r>
              <w:rPr>
                <w:rFonts w:hint="eastAsia" w:ascii="宋体" w:hAnsi="宋体"/>
                <w:color w:val="000000"/>
                <w:sz w:val="20"/>
              </w:rPr>
              <w:t>县（市、区）政府门户网站</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9"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三</w:t>
            </w:r>
            <w:r>
              <w:rPr>
                <w:rFonts w:ascii="宋体" w:hAnsi="宋体"/>
                <w:color w:val="000000"/>
                <w:sz w:val="20"/>
              </w:rPr>
              <w:t>）</w:t>
            </w:r>
            <w:r>
              <w:rPr>
                <w:rFonts w:hint="eastAsia" w:ascii="宋体" w:hAnsi="宋体"/>
                <w:color w:val="000000"/>
                <w:sz w:val="20"/>
              </w:rPr>
              <w:t>乡镇政府（街道办事处）门户网站</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黑体" w:hAnsi="宋体" w:eastAsia="黑体"/>
                <w:color w:val="000000"/>
                <w:szCs w:val="21"/>
              </w:rPr>
            </w:pPr>
            <w:r>
              <w:rPr>
                <w:rFonts w:hint="eastAsia" w:ascii="黑体" w:hAnsi="宋体" w:eastAsia="黑体"/>
                <w:color w:val="000000"/>
                <w:szCs w:val="21"/>
              </w:rPr>
              <w:t>九、市政府公报发行量</w:t>
            </w:r>
          </w:p>
        </w:tc>
        <w:tc>
          <w:tcPr>
            <w:tcW w:w="1002" w:type="dxa"/>
            <w:shd w:val="clear" w:color="auto" w:fill="FFFFFF"/>
            <w:noWrap w:val="0"/>
            <w:vAlign w:val="center"/>
          </w:tcPr>
          <w:p>
            <w:pPr>
              <w:spacing w:line="300" w:lineRule="exact"/>
              <w:jc w:val="center"/>
              <w:rPr>
                <w:rFonts w:ascii="宋体" w:hAnsi="宋体"/>
                <w:color w:val="000000"/>
                <w:sz w:val="20"/>
              </w:rPr>
            </w:pPr>
          </w:p>
        </w:tc>
        <w:tc>
          <w:tcPr>
            <w:tcW w:w="1015" w:type="dxa"/>
            <w:shd w:val="clear" w:color="auto" w:fill="FFFFFF"/>
            <w:noWrap w:val="0"/>
            <w:vAlign w:val="center"/>
          </w:tcPr>
          <w:p>
            <w:pPr>
              <w:spacing w:line="300" w:lineRule="exact"/>
              <w:jc w:val="center"/>
              <w:rPr>
                <w:rFonts w:hint="eastAsia" w:ascii="黑体" w:hAnsi="宋体" w:eastAsia="黑体"/>
                <w:color w:val="000000"/>
                <w:sz w:val="21"/>
                <w:szCs w:val="21"/>
                <w:lang w:val="en-US" w:eastAsia="zh-CN"/>
              </w:rPr>
            </w:pPr>
            <w:r>
              <w:rPr>
                <w:rFonts w:hint="eastAsia" w:ascii="黑体" w:hAnsi="宋体" w:eastAsia="黑体"/>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1" w:hRule="atLeast"/>
          <w:jc w:val="center"/>
        </w:trPr>
        <w:tc>
          <w:tcPr>
            <w:tcW w:w="7433" w:type="dxa"/>
            <w:shd w:val="clear" w:color="auto" w:fill="FFFFFF"/>
            <w:noWrap w:val="0"/>
            <w:vAlign w:val="center"/>
          </w:tcPr>
          <w:p>
            <w:pPr>
              <w:spacing w:line="300" w:lineRule="exact"/>
              <w:ind w:firstLine="400" w:firstLineChars="200"/>
              <w:rPr>
                <w:rFonts w:hint="eastAsia" w:ascii="宋体" w:hAnsi="宋体"/>
                <w:color w:val="000000"/>
                <w:sz w:val="20"/>
              </w:rPr>
            </w:pPr>
            <w:r>
              <w:rPr>
                <w:rFonts w:ascii="宋体" w:hAnsi="宋体"/>
                <w:color w:val="000000"/>
                <w:sz w:val="20"/>
              </w:rPr>
              <w:t>（一）</w:t>
            </w:r>
            <w:r>
              <w:rPr>
                <w:rFonts w:hint="eastAsia" w:ascii="宋体" w:hAnsi="宋体"/>
                <w:color w:val="000000"/>
                <w:sz w:val="20"/>
              </w:rPr>
              <w:t>公报发行期数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期</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hint="eastAsia" w:ascii="宋体" w:hAnsi="宋体"/>
                <w:color w:val="000000"/>
                <w:sz w:val="20"/>
              </w:rPr>
            </w:pPr>
            <w:r>
              <w:rPr>
                <w:rFonts w:hint="eastAsia" w:ascii="宋体" w:hAnsi="宋体"/>
                <w:color w:val="000000"/>
                <w:sz w:val="20"/>
              </w:rPr>
              <w:t>（二）公报发行总份数</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份</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黑体" w:hAnsi="宋体" w:eastAsia="黑体"/>
                <w:color w:val="000000"/>
                <w:szCs w:val="21"/>
              </w:rPr>
            </w:pPr>
            <w:r>
              <w:rPr>
                <w:rFonts w:hint="eastAsia" w:ascii="黑体" w:hAnsi="宋体" w:eastAsia="黑体"/>
                <w:color w:val="000000"/>
                <w:szCs w:val="21"/>
              </w:rPr>
              <w:t>十、设置政府信息查阅点数</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（一）</w:t>
            </w:r>
            <w:r>
              <w:rPr>
                <w:rFonts w:hint="eastAsia" w:ascii="宋体" w:hAnsi="宋体"/>
                <w:color w:val="000000"/>
                <w:sz w:val="20"/>
              </w:rPr>
              <w:t>市政府及其部门</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二</w:t>
            </w:r>
            <w:r>
              <w:rPr>
                <w:rFonts w:ascii="宋体" w:hAnsi="宋体"/>
                <w:color w:val="000000"/>
                <w:sz w:val="20"/>
              </w:rPr>
              <w:t>）</w:t>
            </w:r>
            <w:r>
              <w:rPr>
                <w:rFonts w:hint="eastAsia" w:ascii="宋体" w:hAnsi="宋体"/>
                <w:color w:val="000000"/>
                <w:sz w:val="20"/>
              </w:rPr>
              <w:t>县（市、区）政府及其部门</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三</w:t>
            </w:r>
            <w:r>
              <w:rPr>
                <w:rFonts w:ascii="宋体" w:hAnsi="宋体"/>
                <w:color w:val="000000"/>
                <w:sz w:val="20"/>
              </w:rPr>
              <w:t>）</w:t>
            </w:r>
            <w:r>
              <w:rPr>
                <w:rFonts w:hint="eastAsia" w:ascii="宋体" w:hAnsi="宋体"/>
                <w:color w:val="000000"/>
                <w:sz w:val="20"/>
              </w:rPr>
              <w:t>乡镇政府（街道办事处）</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黑体" w:hAnsi="宋体" w:eastAsia="黑体"/>
                <w:color w:val="000000"/>
                <w:szCs w:val="21"/>
              </w:rPr>
            </w:pPr>
            <w:r>
              <w:rPr>
                <w:rFonts w:hint="eastAsia" w:ascii="黑体" w:hAnsi="宋体" w:eastAsia="黑体"/>
                <w:color w:val="000000"/>
                <w:szCs w:val="21"/>
              </w:rPr>
              <w:t>十一、查阅点接待人数</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（一）</w:t>
            </w:r>
            <w:r>
              <w:rPr>
                <w:rFonts w:hint="eastAsia" w:ascii="宋体" w:hAnsi="宋体"/>
                <w:color w:val="000000"/>
                <w:sz w:val="20"/>
              </w:rPr>
              <w:t>市政府及其部门</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二</w:t>
            </w:r>
            <w:r>
              <w:rPr>
                <w:rFonts w:ascii="宋体" w:hAnsi="宋体"/>
                <w:color w:val="000000"/>
                <w:sz w:val="20"/>
              </w:rPr>
              <w:t>）</w:t>
            </w:r>
            <w:r>
              <w:rPr>
                <w:rFonts w:hint="eastAsia" w:ascii="宋体" w:hAnsi="宋体"/>
                <w:color w:val="000000"/>
                <w:sz w:val="20"/>
              </w:rPr>
              <w:t>县（市、区）政府及其部门</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次</w:t>
            </w:r>
          </w:p>
        </w:tc>
        <w:tc>
          <w:tcPr>
            <w:tcW w:w="1015" w:type="dxa"/>
            <w:shd w:val="clear" w:color="auto" w:fill="FFFFFF"/>
            <w:noWrap w:val="0"/>
            <w:vAlign w:val="center"/>
          </w:tcPr>
          <w:p>
            <w:pPr>
              <w:widowControl/>
              <w:spacing w:line="300" w:lineRule="exact"/>
              <w:jc w:val="center"/>
              <w:rPr>
                <w:rFonts w:ascii="黑体" w:hAnsi="宋体" w:eastAsia="黑体"/>
                <w:color w:val="000000"/>
                <w:sz w:val="21"/>
                <w:szCs w:val="21"/>
              </w:rPr>
            </w:pPr>
            <w:r>
              <w:rPr>
                <w:rFonts w:ascii="黑体" w:hAnsi="宋体" w:eastAsia="黑体"/>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ind w:firstLine="400" w:firstLineChars="200"/>
              <w:rPr>
                <w:rFonts w:ascii="宋体" w:hAnsi="宋体"/>
                <w:color w:val="000000"/>
                <w:sz w:val="20"/>
              </w:rPr>
            </w:pPr>
            <w:r>
              <w:rPr>
                <w:rFonts w:ascii="宋体" w:hAnsi="宋体"/>
                <w:color w:val="000000"/>
                <w:sz w:val="20"/>
              </w:rPr>
              <w:t>（</w:t>
            </w:r>
            <w:r>
              <w:rPr>
                <w:rFonts w:hint="eastAsia" w:ascii="宋体" w:hAnsi="宋体"/>
                <w:color w:val="000000"/>
                <w:sz w:val="20"/>
              </w:rPr>
              <w:t>三</w:t>
            </w:r>
            <w:r>
              <w:rPr>
                <w:rFonts w:ascii="宋体" w:hAnsi="宋体"/>
                <w:color w:val="000000"/>
                <w:sz w:val="20"/>
              </w:rPr>
              <w:t>）</w:t>
            </w:r>
            <w:r>
              <w:rPr>
                <w:rFonts w:hint="eastAsia" w:ascii="宋体" w:hAnsi="宋体"/>
                <w:color w:val="000000"/>
                <w:sz w:val="20"/>
              </w:rPr>
              <w:t>乡镇政府（街道办事处）</w:t>
            </w:r>
          </w:p>
        </w:tc>
        <w:tc>
          <w:tcPr>
            <w:tcW w:w="1002" w:type="dxa"/>
            <w:shd w:val="clear" w:color="auto" w:fill="FFFFFF"/>
            <w:noWrap w:val="0"/>
            <w:vAlign w:val="center"/>
          </w:tcPr>
          <w:p>
            <w:pPr>
              <w:spacing w:line="300" w:lineRule="exact"/>
              <w:jc w:val="center"/>
              <w:rPr>
                <w:rFonts w:ascii="宋体" w:hAnsi="宋体"/>
                <w:color w:val="000000"/>
                <w:sz w:val="20"/>
              </w:rPr>
            </w:pPr>
            <w:r>
              <w:rPr>
                <w:rFonts w:hint="eastAsia" w:ascii="宋体" w:hAnsi="宋体"/>
                <w:color w:val="000000"/>
                <w:sz w:val="20"/>
              </w:rPr>
              <w:t>次</w:t>
            </w:r>
          </w:p>
        </w:tc>
        <w:tc>
          <w:tcPr>
            <w:tcW w:w="1015" w:type="dxa"/>
            <w:shd w:val="clear" w:color="auto" w:fill="FFFFFF"/>
            <w:noWrap w:val="0"/>
            <w:vAlign w:val="center"/>
          </w:tcPr>
          <w:p>
            <w:pPr>
              <w:widowControl/>
              <w:spacing w:line="300" w:lineRule="exact"/>
              <w:jc w:val="center"/>
              <w:rPr>
                <w:rFonts w:ascii="黑体" w:hAnsi="宋体" w:eastAsia="黑体"/>
                <w:color w:val="000000"/>
                <w:sz w:val="21"/>
                <w:szCs w:val="21"/>
              </w:rPr>
            </w:pPr>
            <w:r>
              <w:rPr>
                <w:rFonts w:ascii="黑体" w:hAnsi="宋体" w:eastAsia="黑体"/>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十二、依申请公开信息收取的费用</w:t>
            </w:r>
          </w:p>
        </w:tc>
        <w:tc>
          <w:tcPr>
            <w:tcW w:w="1002" w:type="dxa"/>
            <w:shd w:val="clear" w:color="auto" w:fill="FFFFFF"/>
            <w:noWrap w:val="0"/>
            <w:vAlign w:val="center"/>
          </w:tcPr>
          <w:p>
            <w:pPr>
              <w:spacing w:line="300" w:lineRule="exact"/>
              <w:jc w:val="center"/>
              <w:rPr>
                <w:rFonts w:hint="eastAsia" w:ascii="宋体" w:hAnsi="宋体"/>
                <w:color w:val="000000"/>
                <w:sz w:val="20"/>
              </w:rPr>
            </w:pPr>
            <w:r>
              <w:rPr>
                <w:rFonts w:hint="eastAsia" w:ascii="宋体" w:hAnsi="宋体"/>
                <w:color w:val="000000"/>
                <w:sz w:val="20"/>
              </w:rPr>
              <w:t>万元</w:t>
            </w:r>
          </w:p>
        </w:tc>
        <w:tc>
          <w:tcPr>
            <w:tcW w:w="1015" w:type="dxa"/>
            <w:shd w:val="clear" w:color="auto" w:fill="FFFFFF"/>
            <w:noWrap w:val="0"/>
            <w:vAlign w:val="center"/>
          </w:tcPr>
          <w:p>
            <w:pPr>
              <w:spacing w:line="300" w:lineRule="exact"/>
              <w:jc w:val="center"/>
              <w:rPr>
                <w:rFonts w:ascii="黑体" w:hAnsi="宋体" w:eastAsia="黑体"/>
                <w:color w:val="000000"/>
                <w:sz w:val="21"/>
                <w:szCs w:val="21"/>
              </w:rPr>
            </w:pPr>
            <w:r>
              <w:rPr>
                <w:rFonts w:ascii="黑体" w:hAnsi="宋体" w:eastAsia="黑体"/>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十三、机构建设和保障经费情况</w:t>
            </w:r>
          </w:p>
        </w:tc>
        <w:tc>
          <w:tcPr>
            <w:tcW w:w="1002" w:type="dxa"/>
            <w:shd w:val="clear" w:color="auto" w:fill="FFFFFF"/>
            <w:noWrap w:val="0"/>
            <w:vAlign w:val="center"/>
          </w:tcPr>
          <w:p>
            <w:pPr>
              <w:spacing w:line="300" w:lineRule="exact"/>
              <w:jc w:val="center"/>
              <w:rPr>
                <w:rFonts w:hint="eastAsia" w:ascii="宋体" w:hAnsi="宋体"/>
                <w:color w:val="000000"/>
                <w:sz w:val="20"/>
              </w:rPr>
            </w:pPr>
          </w:p>
        </w:tc>
        <w:tc>
          <w:tcPr>
            <w:tcW w:w="1015" w:type="dxa"/>
            <w:shd w:val="clear" w:color="auto" w:fill="FFFFFF"/>
            <w:noWrap w:val="0"/>
            <w:vAlign w:val="center"/>
          </w:tcPr>
          <w:p>
            <w:pPr>
              <w:spacing w:line="300" w:lineRule="exact"/>
              <w:jc w:val="center"/>
              <w:rPr>
                <w:rFonts w:ascii="黑体" w:hAnsi="宋体" w:eastAsia="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（一）政府信息公开工作专门机构数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（二）设置政府信息公开查阅点数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个</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（三）从事政府信息公开工作人员数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人</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1.专职人员数（不包括政府公报及政府网站工作人员数）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人</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2.兼职人员数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人</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hint="eastAsia" w:ascii="宋体" w:hAnsi="宋体"/>
                <w:color w:val="000000"/>
                <w:sz w:val="20"/>
              </w:rPr>
            </w:pPr>
            <w:r>
              <w:rPr>
                <w:rFonts w:ascii="宋体" w:hAnsi="宋体"/>
                <w:color w:val="000000"/>
                <w:sz w:val="20"/>
              </w:rPr>
              <w:t>　　（四）政府信息公开专项经费（不包括用于政府公报编辑管理及政府网站建设维</w:t>
            </w:r>
          </w:p>
          <w:p>
            <w:pPr>
              <w:spacing w:line="300" w:lineRule="exact"/>
              <w:rPr>
                <w:rFonts w:ascii="宋体" w:hAnsi="宋体" w:cs="宋体"/>
                <w:color w:val="000000"/>
                <w:sz w:val="24"/>
                <w:szCs w:val="24"/>
              </w:rPr>
            </w:pPr>
            <w:r>
              <w:rPr>
                <w:rFonts w:ascii="宋体" w:hAnsi="宋体"/>
                <w:color w:val="000000"/>
                <w:sz w:val="20"/>
              </w:rPr>
              <w:t>　　　　　护等方面的经费）</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万元</w:t>
            </w:r>
          </w:p>
        </w:tc>
        <w:tc>
          <w:tcPr>
            <w:tcW w:w="1015" w:type="dxa"/>
            <w:shd w:val="clear" w:color="auto" w:fill="FFFFFF"/>
            <w:noWrap w:val="0"/>
            <w:vAlign w:val="center"/>
          </w:tcPr>
          <w:p>
            <w:pPr>
              <w:spacing w:line="300" w:lineRule="exact"/>
              <w:jc w:val="center"/>
              <w:rPr>
                <w:rFonts w:ascii="宋体" w:hAnsi="宋体" w:eastAsia="仿宋" w:cs="宋体"/>
                <w:color w:val="000000"/>
                <w:sz w:val="21"/>
                <w:szCs w:val="21"/>
              </w:rPr>
            </w:pPr>
            <w:r>
              <w:rPr>
                <w:rFonts w:ascii="宋体" w:hAnsi="宋体" w:eastAsia="仿宋"/>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hint="eastAsia" w:ascii="黑体" w:hAnsi="宋体" w:eastAsia="黑体"/>
                <w:color w:val="000000"/>
                <w:szCs w:val="21"/>
              </w:rPr>
            </w:pPr>
            <w:r>
              <w:rPr>
                <w:rFonts w:hint="eastAsia" w:ascii="黑体" w:hAnsi="宋体" w:eastAsia="黑体"/>
                <w:color w:val="000000"/>
                <w:szCs w:val="21"/>
              </w:rPr>
              <w:t>十四、政府信息公开会议和培训情况</w:t>
            </w:r>
          </w:p>
        </w:tc>
        <w:tc>
          <w:tcPr>
            <w:tcW w:w="1002" w:type="dxa"/>
            <w:shd w:val="clear" w:color="auto" w:fill="FFFFFF"/>
            <w:noWrap w:val="0"/>
            <w:vAlign w:val="center"/>
          </w:tcPr>
          <w:p>
            <w:pPr>
              <w:spacing w:line="300" w:lineRule="exact"/>
              <w:jc w:val="center"/>
              <w:rPr>
                <w:rFonts w:hint="eastAsia" w:ascii="宋体" w:hAnsi="宋体"/>
                <w:color w:val="000000"/>
                <w:sz w:val="20"/>
              </w:rPr>
            </w:pPr>
          </w:p>
        </w:tc>
        <w:tc>
          <w:tcPr>
            <w:tcW w:w="1015" w:type="dxa"/>
            <w:shd w:val="clear" w:color="auto" w:fill="FFFFFF"/>
            <w:noWrap w:val="0"/>
            <w:vAlign w:val="center"/>
          </w:tcPr>
          <w:p>
            <w:pPr>
              <w:spacing w:line="300" w:lineRule="exact"/>
              <w:jc w:val="center"/>
              <w:rPr>
                <w:rFonts w:ascii="黑体" w:hAnsi="宋体" w:eastAsia="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（一）召开政府信息公开工作会议或专题会议数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eastAsia="zh-CN"/>
              </w:rPr>
            </w:pPr>
            <w:r>
              <w:rPr>
                <w:rFonts w:hint="eastAsia" w:ascii="宋体" w:hAnsi="宋体" w:eastAsia="仿宋"/>
                <w:color w:val="00000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（二）举办各类培训班数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s="宋体"/>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433" w:type="dxa"/>
            <w:shd w:val="clear" w:color="auto" w:fill="FFFFFF"/>
            <w:noWrap w:val="0"/>
            <w:vAlign w:val="center"/>
          </w:tcPr>
          <w:p>
            <w:pPr>
              <w:spacing w:line="300" w:lineRule="exact"/>
              <w:rPr>
                <w:rFonts w:ascii="宋体" w:hAnsi="宋体" w:cs="宋体"/>
                <w:color w:val="000000"/>
                <w:sz w:val="24"/>
                <w:szCs w:val="24"/>
              </w:rPr>
            </w:pPr>
            <w:r>
              <w:rPr>
                <w:rFonts w:ascii="宋体" w:hAnsi="宋体"/>
                <w:color w:val="000000"/>
                <w:sz w:val="20"/>
              </w:rPr>
              <w:t>　　（三）接受培训人员数</w:t>
            </w:r>
          </w:p>
        </w:tc>
        <w:tc>
          <w:tcPr>
            <w:tcW w:w="1002" w:type="dxa"/>
            <w:shd w:val="clear" w:color="auto" w:fill="FFFFFF"/>
            <w:noWrap w:val="0"/>
            <w:vAlign w:val="center"/>
          </w:tcPr>
          <w:p>
            <w:pPr>
              <w:spacing w:line="300" w:lineRule="exact"/>
              <w:jc w:val="center"/>
              <w:rPr>
                <w:rFonts w:hint="eastAsia" w:ascii="宋体" w:hAnsi="宋体" w:cs="宋体"/>
                <w:color w:val="000000"/>
                <w:sz w:val="20"/>
              </w:rPr>
            </w:pPr>
            <w:r>
              <w:rPr>
                <w:rFonts w:hint="eastAsia" w:ascii="宋体" w:hAnsi="宋体"/>
                <w:color w:val="000000"/>
                <w:sz w:val="20"/>
              </w:rPr>
              <w:t>人次</w:t>
            </w:r>
          </w:p>
        </w:tc>
        <w:tc>
          <w:tcPr>
            <w:tcW w:w="1015" w:type="dxa"/>
            <w:shd w:val="clear" w:color="auto" w:fill="FFFFFF"/>
            <w:noWrap w:val="0"/>
            <w:vAlign w:val="center"/>
          </w:tcPr>
          <w:p>
            <w:pPr>
              <w:spacing w:line="300" w:lineRule="exact"/>
              <w:jc w:val="center"/>
              <w:rPr>
                <w:rFonts w:hint="eastAsia" w:ascii="宋体" w:hAnsi="宋体" w:eastAsia="仿宋" w:cs="宋体"/>
                <w:color w:val="000000"/>
                <w:sz w:val="21"/>
                <w:szCs w:val="21"/>
                <w:lang w:val="en-US" w:eastAsia="zh-CN"/>
              </w:rPr>
            </w:pPr>
            <w:r>
              <w:rPr>
                <w:rFonts w:hint="eastAsia" w:ascii="宋体" w:hAnsi="宋体" w:eastAsia="仿宋"/>
                <w:color w:val="000000"/>
                <w:sz w:val="21"/>
                <w:szCs w:val="21"/>
                <w:lang w:val="en-US" w:eastAsia="zh-CN"/>
              </w:rPr>
              <w:t>19</w:t>
            </w:r>
          </w:p>
        </w:tc>
      </w:tr>
    </w:tbl>
    <w:p>
      <w:pPr>
        <w:jc w:val="left"/>
        <w:rPr>
          <w:rFonts w:hint="eastAsia" w:ascii="黑体" w:hAnsi="仿宋_GB2312" w:eastAsia="黑体"/>
          <w:bCs/>
          <w:szCs w:val="24"/>
        </w:rPr>
      </w:pPr>
    </w:p>
    <w:p>
      <w:pPr>
        <w:spacing w:line="600" w:lineRule="exact"/>
        <w:rPr>
          <w:rFonts w:hint="eastAsia" w:ascii="Calibri" w:hAnsi="Calibri" w:eastAsia="仿宋_GB2312" w:cs="宋体"/>
          <w:sz w:val="32"/>
          <w:szCs w:val="32"/>
        </w:rPr>
      </w:pPr>
    </w:p>
    <w:p>
      <w:pPr>
        <w:pStyle w:val="13"/>
        <w:ind w:firstLine="640"/>
        <w:rPr>
          <w:rFonts w:hint="eastAsia" w:ascii="黑体" w:hAnsi="黑体" w:eastAsia="黑体"/>
          <w:sz w:val="32"/>
          <w:szCs w:val="32"/>
        </w:rPr>
      </w:pPr>
    </w:p>
    <w:p>
      <w:pPr>
        <w:pStyle w:val="13"/>
        <w:ind w:left="660" w:firstLine="0" w:firstLineChars="0"/>
        <w:rPr>
          <w:rFonts w:ascii="黑体" w:hAnsi="黑体" w:eastAsia="黑体"/>
          <w:sz w:val="32"/>
          <w:szCs w:val="32"/>
        </w:rPr>
      </w:pPr>
    </w:p>
    <w:p>
      <w:pPr>
        <w:jc w:val="center"/>
        <w:rPr>
          <w:rFonts w:hint="eastAsia" w:ascii="黑体" w:hAns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DEC781"/>
    <w:multiLevelType w:val="singleLevel"/>
    <w:tmpl w:val="90DEC781"/>
    <w:lvl w:ilvl="0" w:tentative="0">
      <w:start w:val="1"/>
      <w:numFmt w:val="chineseCounting"/>
      <w:suff w:val="nothing"/>
      <w:lvlText w:val="（%1）"/>
      <w:lvlJc w:val="left"/>
      <w:rPr>
        <w:rFonts w:hint="eastAsia"/>
      </w:rPr>
    </w:lvl>
  </w:abstractNum>
  <w:abstractNum w:abstractNumId="1">
    <w:nsid w:val="255F715A"/>
    <w:multiLevelType w:val="multilevel"/>
    <w:tmpl w:val="255F715A"/>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A96"/>
    <w:rsid w:val="000C2FC6"/>
    <w:rsid w:val="002A72B9"/>
    <w:rsid w:val="00322158"/>
    <w:rsid w:val="00943DE2"/>
    <w:rsid w:val="00C16A96"/>
    <w:rsid w:val="0E6E5E25"/>
    <w:rsid w:val="240069F2"/>
    <w:rsid w:val="70C74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character" w:styleId="3">
    <w:name w:val="FollowedHyperlink"/>
    <w:basedOn w:val="2"/>
    <w:semiHidden/>
    <w:unhideWhenUsed/>
    <w:uiPriority w:val="99"/>
    <w:rPr>
      <w:rFonts w:hint="eastAsia" w:ascii="微软雅黑" w:hAnsi="微软雅黑" w:eastAsia="微软雅黑" w:cs="微软雅黑"/>
      <w:color w:val="333333"/>
      <w:sz w:val="21"/>
      <w:szCs w:val="21"/>
      <w:u w:val="none"/>
    </w:rPr>
  </w:style>
  <w:style w:type="character" w:styleId="4">
    <w:name w:val="Emphasis"/>
    <w:basedOn w:val="2"/>
    <w:qFormat/>
    <w:uiPriority w:val="20"/>
  </w:style>
  <w:style w:type="character" w:styleId="5">
    <w:name w:val="HTML Definition"/>
    <w:basedOn w:val="2"/>
    <w:semiHidden/>
    <w:unhideWhenUsed/>
    <w:qFormat/>
    <w:uiPriority w:val="99"/>
  </w:style>
  <w:style w:type="character" w:styleId="6">
    <w:name w:val="HTML Acronym"/>
    <w:basedOn w:val="2"/>
    <w:semiHidden/>
    <w:unhideWhenUsed/>
    <w:qFormat/>
    <w:uiPriority w:val="99"/>
  </w:style>
  <w:style w:type="character" w:styleId="7">
    <w:name w:val="HTML Variable"/>
    <w:basedOn w:val="2"/>
    <w:semiHidden/>
    <w:unhideWhenUsed/>
    <w:qFormat/>
    <w:uiPriority w:val="99"/>
  </w:style>
  <w:style w:type="character" w:styleId="8">
    <w:name w:val="Hyperlink"/>
    <w:basedOn w:val="2"/>
    <w:semiHidden/>
    <w:unhideWhenUsed/>
    <w:uiPriority w:val="99"/>
    <w:rPr>
      <w:rFonts w:hint="eastAsia" w:ascii="微软雅黑" w:hAnsi="微软雅黑" w:eastAsia="微软雅黑" w:cs="微软雅黑"/>
      <w:color w:val="333333"/>
      <w:sz w:val="21"/>
      <w:szCs w:val="21"/>
      <w:u w:val="none"/>
    </w:rPr>
  </w:style>
  <w:style w:type="character" w:styleId="9">
    <w:name w:val="HTML Code"/>
    <w:basedOn w:val="2"/>
    <w:semiHidden/>
    <w:unhideWhenUsed/>
    <w:qFormat/>
    <w:uiPriority w:val="99"/>
    <w:rPr>
      <w:rFonts w:ascii="Courier New" w:hAnsi="Courier New"/>
      <w:sz w:val="20"/>
    </w:rPr>
  </w:style>
  <w:style w:type="character" w:styleId="10">
    <w:name w:val="HTML Cite"/>
    <w:basedOn w:val="2"/>
    <w:semiHidden/>
    <w:unhideWhenUsed/>
    <w:qFormat/>
    <w:uiPriority w:val="99"/>
  </w:style>
  <w:style w:type="character" w:customStyle="1" w:styleId="12">
    <w:name w:val="15"/>
    <w:basedOn w:val="2"/>
    <w:qFormat/>
    <w:uiPriority w:val="0"/>
    <w:rPr>
      <w:rFonts w:hint="eastAsia" w:ascii="仿宋_GB2312" w:eastAsia="仿宋_GB2312"/>
      <w:color w:val="000000"/>
      <w:sz w:val="32"/>
      <w:szCs w:val="32"/>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112</Words>
  <Characters>640</Characters>
  <Lines>5</Lines>
  <Paragraphs>1</Paragraphs>
  <TotalTime>16</TotalTime>
  <ScaleCrop>false</ScaleCrop>
  <LinksUpToDate>false</LinksUpToDate>
  <CharactersWithSpaces>751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2019-03-28T09:11:00Z</dcterms:created>
  <dc:creator>微软用户</dc:creator>
  <cp:lastModifiedBy>莎莎</cp:lastModifiedBy>
  <cp:lastPrinted>2019-03-29T09:04:00Z</cp:lastPrinted>
  <dcterms:modified xsi:type="dcterms:W3CDTF">2019-04-01T03:02:31Z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