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威海市医疗保障局</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威海市人力资源和社会保障局</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方正小标宋简体"/>
          <w:i w:val="0"/>
          <w:caps w:val="0"/>
          <w:color w:val="auto"/>
          <w:spacing w:val="0"/>
          <w:sz w:val="44"/>
          <w:szCs w:val="44"/>
          <w:shd w:val="clear" w:color="auto" w:fill="FFFFFF"/>
          <w:lang w:eastAsia="zh-CN"/>
        </w:rPr>
      </w:pPr>
      <w:r>
        <w:rPr>
          <w:rFonts w:hint="eastAsia" w:ascii="Times New Roman" w:hAnsi="Times New Roman" w:eastAsia="方正小标宋简体" w:cs="方正小标宋简体"/>
          <w:i w:val="0"/>
          <w:caps w:val="0"/>
          <w:color w:val="auto"/>
          <w:spacing w:val="0"/>
          <w:sz w:val="44"/>
          <w:szCs w:val="44"/>
          <w:shd w:val="clear" w:color="auto" w:fill="FFFFFF"/>
          <w:lang w:eastAsia="zh-CN"/>
        </w:rPr>
        <w:t>关于执行《国家基本医疗保险、工伤保险</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方正小标宋简体"/>
          <w:i w:val="0"/>
          <w:caps w:val="0"/>
          <w:color w:val="auto"/>
          <w:spacing w:val="0"/>
          <w:sz w:val="44"/>
          <w:szCs w:val="44"/>
          <w:shd w:val="clear" w:color="auto" w:fill="FFFFFF"/>
          <w:lang w:eastAsia="zh-CN"/>
        </w:rPr>
      </w:pPr>
      <w:r>
        <w:rPr>
          <w:rFonts w:hint="eastAsia" w:ascii="Times New Roman" w:hAnsi="Times New Roman" w:eastAsia="方正小标宋简体" w:cs="方正小标宋简体"/>
          <w:i w:val="0"/>
          <w:caps w:val="0"/>
          <w:color w:val="auto"/>
          <w:spacing w:val="0"/>
          <w:sz w:val="44"/>
          <w:szCs w:val="44"/>
          <w:shd w:val="clear" w:color="auto" w:fill="FFFFFF"/>
          <w:lang w:eastAsia="zh-CN"/>
        </w:rPr>
        <w:t>和生育保险药品目录（</w:t>
      </w:r>
      <w:r>
        <w:rPr>
          <w:rFonts w:hint="eastAsia" w:ascii="Times New Roman" w:hAnsi="Times New Roman" w:eastAsia="方正小标宋简体" w:cs="方正小标宋简体"/>
          <w:i w:val="0"/>
          <w:caps w:val="0"/>
          <w:color w:val="auto"/>
          <w:spacing w:val="0"/>
          <w:sz w:val="44"/>
          <w:szCs w:val="44"/>
          <w:shd w:val="clear" w:color="auto" w:fill="FFFFFF"/>
          <w:lang w:val="en-US" w:eastAsia="zh-CN"/>
        </w:rPr>
        <w:t>2021年</w:t>
      </w:r>
      <w:r>
        <w:rPr>
          <w:rFonts w:hint="eastAsia" w:ascii="Times New Roman" w:hAnsi="Times New Roman" w:eastAsia="方正小标宋简体" w:cs="方正小标宋简体"/>
          <w:i w:val="0"/>
          <w:caps w:val="0"/>
          <w:color w:val="auto"/>
          <w:spacing w:val="0"/>
          <w:sz w:val="44"/>
          <w:szCs w:val="44"/>
          <w:shd w:val="clear" w:color="auto" w:fill="FFFFFF"/>
          <w:lang w:eastAsia="zh-CN"/>
        </w:rPr>
        <w:t>）》的通知</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Times New Roman" w:hAnsi="Times New Roman" w:eastAsia="仿宋_GB2312" w:cs="仿宋_GB2312"/>
          <w:i w:val="0"/>
          <w:caps w:val="0"/>
          <w:color w:val="auto"/>
          <w:spacing w:val="0"/>
          <w:sz w:val="32"/>
          <w:szCs w:val="32"/>
          <w:shd w:val="clear" w:color="auto" w:fill="FFFFFF"/>
          <w:lang w:eastAsia="zh-CN"/>
        </w:rPr>
      </w:pPr>
      <w:r>
        <w:rPr>
          <w:rFonts w:hint="eastAsia" w:ascii="Times New Roman" w:hAnsi="Times New Roman" w:eastAsia="仿宋_GB2312" w:cs="仿宋_GB2312"/>
          <w:i w:val="0"/>
          <w:caps w:val="0"/>
          <w:color w:val="auto"/>
          <w:spacing w:val="0"/>
          <w:sz w:val="32"/>
          <w:szCs w:val="32"/>
          <w:shd w:val="clear" w:color="auto" w:fill="FFFFFF"/>
          <w:lang w:eastAsia="zh-CN"/>
        </w:rPr>
        <w:t>各区市医疗保障局、人力资源和社会保障局，国家级开发区科技创新局</w:t>
      </w: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lang w:eastAsia="zh-CN"/>
        </w:rPr>
        <w:t>南海新区</w:t>
      </w:r>
      <w:r>
        <w:rPr>
          <w:rFonts w:hint="eastAsia" w:ascii="Times New Roman" w:hAnsi="Times New Roman" w:eastAsia="仿宋_GB2312" w:cs="仿宋_GB2312"/>
          <w:kern w:val="0"/>
          <w:sz w:val="32"/>
          <w:szCs w:val="32"/>
        </w:rPr>
        <w:t>党群与人力资源部</w:t>
      </w:r>
      <w:r>
        <w:rPr>
          <w:rFonts w:hint="eastAsia" w:ascii="Times New Roman" w:hAnsi="Times New Roman" w:eastAsia="仿宋_GB2312" w:cs="仿宋_GB2312"/>
          <w:kern w:val="0"/>
          <w:sz w:val="32"/>
          <w:szCs w:val="32"/>
          <w:lang w:eastAsia="zh-CN"/>
        </w:rPr>
        <w:t>，各定点医疗机构</w:t>
      </w:r>
      <w:r>
        <w:rPr>
          <w:rFonts w:hint="eastAsia" w:ascii="Times New Roman" w:hAnsi="Times New Roman" w:eastAsia="仿宋_GB2312" w:cs="仿宋_GB2312"/>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pacing w:val="0"/>
          <w:w w:val="100"/>
          <w:position w:val="0"/>
          <w:sz w:val="32"/>
          <w:szCs w:val="32"/>
          <w:lang w:val="en-US" w:eastAsia="zh-CN"/>
        </w:rPr>
        <w:t xml:space="preserve">        </w:t>
      </w:r>
      <w:r>
        <w:rPr>
          <w:rFonts w:hint="eastAsia" w:ascii="Times New Roman" w:hAnsi="Times New Roman" w:eastAsia="仿宋_GB2312" w:cs="仿宋_GB2312"/>
          <w:color w:val="000000"/>
          <w:spacing w:val="0"/>
          <w:w w:val="100"/>
          <w:position w:val="0"/>
          <w:sz w:val="32"/>
          <w:szCs w:val="32"/>
        </w:rPr>
        <w:t>为贯彻落实</w:t>
      </w:r>
      <w:r>
        <w:rPr>
          <w:rFonts w:hint="eastAsia" w:eastAsia="仿宋_GB2312" w:cs="仿宋_GB2312"/>
          <w:color w:val="000000"/>
          <w:spacing w:val="0"/>
          <w:w w:val="100"/>
          <w:position w:val="0"/>
          <w:sz w:val="32"/>
          <w:szCs w:val="32"/>
          <w:lang w:eastAsia="zh-CN"/>
        </w:rPr>
        <w:t>山东</w:t>
      </w:r>
      <w:r>
        <w:rPr>
          <w:rFonts w:hint="eastAsia" w:ascii="Times New Roman" w:hAnsi="Times New Roman" w:eastAsia="仿宋_GB2312" w:cs="仿宋_GB2312"/>
          <w:color w:val="auto"/>
          <w:spacing w:val="0"/>
          <w:w w:val="100"/>
          <w:position w:val="0"/>
          <w:sz w:val="32"/>
          <w:szCs w:val="32"/>
          <w:lang w:eastAsia="zh-CN"/>
        </w:rPr>
        <w:t>省医</w:t>
      </w:r>
      <w:r>
        <w:rPr>
          <w:rFonts w:hint="eastAsia" w:eastAsia="仿宋_GB2312" w:cs="仿宋_GB2312"/>
          <w:color w:val="auto"/>
          <w:spacing w:val="0"/>
          <w:w w:val="100"/>
          <w:position w:val="0"/>
          <w:sz w:val="32"/>
          <w:szCs w:val="32"/>
          <w:lang w:eastAsia="zh-CN"/>
        </w:rPr>
        <w:t>疗</w:t>
      </w:r>
      <w:r>
        <w:rPr>
          <w:rFonts w:hint="eastAsia" w:ascii="Times New Roman" w:hAnsi="Times New Roman" w:eastAsia="仿宋_GB2312" w:cs="仿宋_GB2312"/>
          <w:color w:val="auto"/>
          <w:spacing w:val="0"/>
          <w:w w:val="100"/>
          <w:position w:val="0"/>
          <w:sz w:val="32"/>
          <w:szCs w:val="32"/>
          <w:lang w:eastAsia="zh-CN"/>
        </w:rPr>
        <w:t>保</w:t>
      </w:r>
      <w:r>
        <w:rPr>
          <w:rFonts w:hint="eastAsia" w:eastAsia="仿宋_GB2312" w:cs="仿宋_GB2312"/>
          <w:color w:val="auto"/>
          <w:spacing w:val="0"/>
          <w:w w:val="100"/>
          <w:position w:val="0"/>
          <w:sz w:val="32"/>
          <w:szCs w:val="32"/>
          <w:lang w:eastAsia="zh-CN"/>
        </w:rPr>
        <w:t>障</w:t>
      </w:r>
      <w:r>
        <w:rPr>
          <w:rFonts w:hint="eastAsia" w:ascii="Times New Roman" w:hAnsi="Times New Roman" w:eastAsia="仿宋_GB2312" w:cs="仿宋_GB2312"/>
          <w:color w:val="auto"/>
          <w:spacing w:val="0"/>
          <w:w w:val="100"/>
          <w:position w:val="0"/>
          <w:sz w:val="32"/>
          <w:szCs w:val="32"/>
          <w:lang w:eastAsia="zh-CN"/>
        </w:rPr>
        <w:t>局、</w:t>
      </w:r>
      <w:r>
        <w:rPr>
          <w:rFonts w:hint="eastAsia" w:eastAsia="仿宋_GB2312" w:cs="仿宋_GB2312"/>
          <w:color w:val="auto"/>
          <w:spacing w:val="0"/>
          <w:w w:val="100"/>
          <w:position w:val="0"/>
          <w:sz w:val="32"/>
          <w:szCs w:val="32"/>
          <w:lang w:eastAsia="zh-CN"/>
        </w:rPr>
        <w:t>山东</w:t>
      </w:r>
      <w:r>
        <w:rPr>
          <w:rFonts w:hint="eastAsia" w:ascii="Times New Roman" w:hAnsi="Times New Roman" w:eastAsia="仿宋_GB2312" w:cs="仿宋_GB2312"/>
          <w:color w:val="auto"/>
          <w:spacing w:val="0"/>
          <w:w w:val="100"/>
          <w:position w:val="0"/>
          <w:sz w:val="32"/>
          <w:szCs w:val="32"/>
          <w:lang w:eastAsia="zh-CN"/>
        </w:rPr>
        <w:t>省人</w:t>
      </w:r>
      <w:r>
        <w:rPr>
          <w:rFonts w:hint="eastAsia" w:eastAsia="仿宋_GB2312" w:cs="仿宋_GB2312"/>
          <w:color w:val="auto"/>
          <w:spacing w:val="0"/>
          <w:w w:val="100"/>
          <w:position w:val="0"/>
          <w:sz w:val="32"/>
          <w:szCs w:val="32"/>
          <w:lang w:eastAsia="zh-CN"/>
        </w:rPr>
        <w:t>力资源和</w:t>
      </w:r>
      <w:r>
        <w:rPr>
          <w:rFonts w:hint="eastAsia" w:ascii="Times New Roman" w:hAnsi="Times New Roman" w:eastAsia="仿宋_GB2312" w:cs="仿宋_GB2312"/>
          <w:color w:val="auto"/>
          <w:spacing w:val="0"/>
          <w:w w:val="100"/>
          <w:position w:val="0"/>
          <w:sz w:val="32"/>
          <w:szCs w:val="32"/>
          <w:lang w:eastAsia="zh-CN"/>
        </w:rPr>
        <w:t>社</w:t>
      </w:r>
      <w:r>
        <w:rPr>
          <w:rFonts w:hint="eastAsia" w:eastAsia="仿宋_GB2312" w:cs="仿宋_GB2312"/>
          <w:color w:val="auto"/>
          <w:spacing w:val="0"/>
          <w:w w:val="100"/>
          <w:position w:val="0"/>
          <w:sz w:val="32"/>
          <w:szCs w:val="32"/>
          <w:lang w:eastAsia="zh-CN"/>
        </w:rPr>
        <w:t>会保障</w:t>
      </w:r>
      <w:r>
        <w:rPr>
          <w:rFonts w:hint="eastAsia" w:ascii="Times New Roman" w:hAnsi="Times New Roman" w:eastAsia="仿宋_GB2312" w:cs="仿宋_GB2312"/>
          <w:color w:val="auto"/>
          <w:spacing w:val="0"/>
          <w:w w:val="100"/>
          <w:position w:val="0"/>
          <w:sz w:val="32"/>
          <w:szCs w:val="32"/>
          <w:lang w:eastAsia="zh-CN"/>
        </w:rPr>
        <w:t>厅《关于执行</w:t>
      </w:r>
      <w:r>
        <w:rPr>
          <w:rFonts w:hint="eastAsia" w:ascii="Times New Roman" w:hAnsi="Times New Roman" w:eastAsia="仿宋_GB2312" w:cs="仿宋_GB2312"/>
          <w:i w:val="0"/>
          <w:caps w:val="0"/>
          <w:color w:val="auto"/>
          <w:spacing w:val="0"/>
          <w:sz w:val="32"/>
          <w:szCs w:val="32"/>
          <w:shd w:val="clear" w:color="auto" w:fill="FFFFFF"/>
          <w:lang w:eastAsia="zh-CN"/>
        </w:rPr>
        <w:t>国家基本医疗保险、工伤保险和生育保险药品目录（</w:t>
      </w:r>
      <w:r>
        <w:rPr>
          <w:rFonts w:hint="eastAsia" w:ascii="Times New Roman" w:hAnsi="Times New Roman" w:eastAsia="仿宋_GB2312" w:cs="仿宋_GB2312"/>
          <w:i w:val="0"/>
          <w:caps w:val="0"/>
          <w:color w:val="auto"/>
          <w:spacing w:val="0"/>
          <w:sz w:val="32"/>
          <w:szCs w:val="32"/>
          <w:shd w:val="clear" w:color="auto" w:fill="FFFFFF"/>
          <w:lang w:val="en-US" w:eastAsia="zh-CN"/>
        </w:rPr>
        <w:t>2021年</w:t>
      </w:r>
      <w:r>
        <w:rPr>
          <w:rFonts w:hint="eastAsia" w:ascii="Times New Roman" w:hAnsi="Times New Roman"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仿宋_GB2312"/>
          <w:color w:val="auto"/>
          <w:spacing w:val="0"/>
          <w:w w:val="100"/>
          <w:position w:val="0"/>
          <w:sz w:val="32"/>
          <w:szCs w:val="32"/>
        </w:rPr>
        <w:t>》（</w:t>
      </w:r>
      <w:r>
        <w:rPr>
          <w:rFonts w:hint="eastAsia" w:ascii="Times New Roman" w:hAnsi="Times New Roman" w:eastAsia="仿宋_GB2312" w:cs="仿宋_GB2312"/>
          <w:color w:val="auto"/>
          <w:spacing w:val="0"/>
          <w:w w:val="100"/>
          <w:position w:val="0"/>
          <w:sz w:val="32"/>
          <w:szCs w:val="32"/>
          <w:lang w:eastAsia="zh-CN"/>
        </w:rPr>
        <w:t>鲁</w:t>
      </w:r>
      <w:r>
        <w:rPr>
          <w:rFonts w:hint="eastAsia" w:ascii="Times New Roman" w:hAnsi="Times New Roman" w:eastAsia="仿宋_GB2312" w:cs="仿宋_GB2312"/>
          <w:color w:val="auto"/>
          <w:spacing w:val="0"/>
          <w:w w:val="100"/>
          <w:position w:val="0"/>
          <w:sz w:val="32"/>
          <w:szCs w:val="32"/>
        </w:rPr>
        <w:t>医保发〔2021〕</w:t>
      </w:r>
      <w:r>
        <w:rPr>
          <w:rFonts w:hint="eastAsia" w:ascii="Times New Roman" w:hAnsi="Times New Roman" w:eastAsia="仿宋_GB2312" w:cs="仿宋_GB2312"/>
          <w:color w:val="auto"/>
          <w:spacing w:val="0"/>
          <w:w w:val="100"/>
          <w:position w:val="0"/>
          <w:sz w:val="32"/>
          <w:szCs w:val="32"/>
          <w:lang w:val="en-US" w:eastAsia="zh-CN"/>
        </w:rPr>
        <w:t>57</w:t>
      </w:r>
      <w:r>
        <w:rPr>
          <w:rFonts w:hint="eastAsia" w:ascii="Times New Roman" w:hAnsi="Times New Roman" w:eastAsia="仿宋_GB2312" w:cs="仿宋_GB2312"/>
          <w:color w:val="auto"/>
          <w:spacing w:val="0"/>
          <w:w w:val="100"/>
          <w:position w:val="0"/>
          <w:sz w:val="32"/>
          <w:szCs w:val="32"/>
        </w:rPr>
        <w:t>号）</w:t>
      </w:r>
      <w:r>
        <w:rPr>
          <w:rFonts w:hint="eastAsia" w:ascii="Times New Roman" w:hAnsi="Times New Roman" w:eastAsia="仿宋_GB2312" w:cs="仿宋_GB2312"/>
          <w:color w:val="auto"/>
          <w:spacing w:val="0"/>
          <w:w w:val="100"/>
          <w:position w:val="0"/>
          <w:sz w:val="32"/>
          <w:szCs w:val="32"/>
          <w:lang w:eastAsia="zh-CN"/>
        </w:rPr>
        <w:t>的</w:t>
      </w:r>
      <w:r>
        <w:rPr>
          <w:rFonts w:hint="eastAsia" w:ascii="Times New Roman" w:hAnsi="Times New Roman" w:eastAsia="仿宋_GB2312" w:cs="仿宋_GB2312"/>
          <w:color w:val="000000"/>
          <w:spacing w:val="0"/>
          <w:w w:val="100"/>
          <w:position w:val="0"/>
          <w:sz w:val="32"/>
          <w:szCs w:val="32"/>
        </w:rPr>
        <w:t>要求，结合我</w:t>
      </w:r>
      <w:r>
        <w:rPr>
          <w:rFonts w:hint="eastAsia" w:ascii="Times New Roman" w:hAnsi="Times New Roman" w:eastAsia="仿宋_GB2312" w:cs="仿宋_GB2312"/>
          <w:color w:val="000000"/>
          <w:spacing w:val="0"/>
          <w:w w:val="100"/>
          <w:position w:val="0"/>
          <w:sz w:val="32"/>
          <w:szCs w:val="32"/>
          <w:lang w:eastAsia="zh-CN"/>
        </w:rPr>
        <w:t>市</w:t>
      </w:r>
      <w:r>
        <w:rPr>
          <w:rFonts w:hint="eastAsia" w:ascii="Times New Roman" w:hAnsi="Times New Roman" w:eastAsia="仿宋_GB2312" w:cs="仿宋_GB2312"/>
          <w:color w:val="000000"/>
          <w:spacing w:val="0"/>
          <w:w w:val="100"/>
          <w:position w:val="0"/>
          <w:sz w:val="32"/>
          <w:szCs w:val="32"/>
        </w:rPr>
        <w:t>实际，现就</w:t>
      </w:r>
      <w:r>
        <w:rPr>
          <w:rFonts w:hint="eastAsia" w:ascii="Times New Roman" w:hAnsi="Times New Roman" w:eastAsia="仿宋_GB2312" w:cs="仿宋_GB2312"/>
          <w:color w:val="000000"/>
          <w:spacing w:val="0"/>
          <w:w w:val="100"/>
          <w:position w:val="0"/>
          <w:sz w:val="32"/>
          <w:szCs w:val="32"/>
          <w:lang w:eastAsia="zh-CN"/>
        </w:rPr>
        <w:t>有关问题</w:t>
      </w:r>
      <w:r>
        <w:rPr>
          <w:rFonts w:hint="eastAsia" w:ascii="Times New Roman" w:hAnsi="Times New Roman" w:eastAsia="仿宋_GB2312" w:cs="仿宋_GB2312"/>
          <w:color w:val="000000"/>
          <w:spacing w:val="0"/>
          <w:w w:val="100"/>
          <w:position w:val="0"/>
          <w:sz w:val="32"/>
          <w:szCs w:val="32"/>
        </w:rPr>
        <w:t>通知如下：</w:t>
      </w:r>
    </w:p>
    <w:p>
      <w:pPr>
        <w:pStyle w:val="8"/>
        <w:keepNext w:val="0"/>
        <w:keepLines w:val="0"/>
        <w:pageBreakBefore w:val="0"/>
        <w:widowControl w:val="0"/>
        <w:shd w:val="clear" w:color="auto" w:fill="auto"/>
        <w:tabs>
          <w:tab w:val="left" w:pos="1300"/>
        </w:tabs>
        <w:kinsoku/>
        <w:wordWrap/>
        <w:overflowPunct/>
        <w:topLinePunct w:val="0"/>
        <w:autoSpaceDE/>
        <w:autoSpaceDN/>
        <w:bidi w:val="0"/>
        <w:adjustRightInd/>
        <w:snapToGrid/>
        <w:spacing w:before="0" w:after="0" w:line="560" w:lineRule="exact"/>
        <w:ind w:left="0" w:right="0" w:firstLine="740"/>
        <w:jc w:val="both"/>
        <w:textAlignment w:val="auto"/>
        <w:rPr>
          <w:rFonts w:hint="eastAsia" w:ascii="Times New Roman" w:hAnsi="Times New Roman" w:eastAsia="仿宋_GB2312" w:cs="仿宋_GB2312"/>
          <w:sz w:val="32"/>
          <w:szCs w:val="32"/>
        </w:rPr>
      </w:pPr>
      <w:bookmarkStart w:id="0" w:name="bookmark4"/>
      <w:r>
        <w:rPr>
          <w:rFonts w:hint="eastAsia" w:ascii="Times New Roman" w:hAnsi="Times New Roman" w:eastAsia="仿宋_GB2312" w:cs="仿宋_GB2312"/>
          <w:color w:val="000000"/>
          <w:spacing w:val="0"/>
          <w:w w:val="100"/>
          <w:position w:val="0"/>
          <w:sz w:val="32"/>
          <w:szCs w:val="32"/>
        </w:rPr>
        <w:t>一</w:t>
      </w:r>
      <w:bookmarkEnd w:id="0"/>
      <w:r>
        <w:rPr>
          <w:rFonts w:hint="eastAsia" w:ascii="Times New Roman" w:hAnsi="Times New Roman" w:eastAsia="仿宋_GB2312" w:cs="仿宋_GB2312"/>
          <w:color w:val="000000"/>
          <w:spacing w:val="0"/>
          <w:w w:val="100"/>
          <w:position w:val="0"/>
          <w:sz w:val="32"/>
          <w:szCs w:val="32"/>
        </w:rPr>
        <w:t>、自2022年1月1日起，全</w:t>
      </w:r>
      <w:r>
        <w:rPr>
          <w:rFonts w:hint="eastAsia" w:ascii="Times New Roman" w:hAnsi="Times New Roman" w:eastAsia="仿宋_GB2312" w:cs="仿宋_GB2312"/>
          <w:color w:val="000000"/>
          <w:spacing w:val="0"/>
          <w:w w:val="100"/>
          <w:position w:val="0"/>
          <w:sz w:val="32"/>
          <w:szCs w:val="32"/>
          <w:lang w:eastAsia="zh-CN"/>
        </w:rPr>
        <w:t>市</w:t>
      </w:r>
      <w:r>
        <w:rPr>
          <w:rFonts w:hint="eastAsia" w:ascii="Times New Roman" w:hAnsi="Times New Roman" w:eastAsia="仿宋_GB2312" w:cs="仿宋_GB2312"/>
          <w:color w:val="000000"/>
          <w:spacing w:val="0"/>
          <w:w w:val="100"/>
          <w:position w:val="0"/>
          <w:sz w:val="32"/>
          <w:szCs w:val="32"/>
        </w:rPr>
        <w:t>基本医疗保险、工伤保险和生育保险统一执行</w:t>
      </w:r>
      <w:r>
        <w:rPr>
          <w:rFonts w:hint="eastAsia" w:ascii="Times New Roman" w:hAnsi="Times New Roman" w:eastAsia="仿宋_GB2312" w:cs="仿宋_GB2312"/>
          <w:color w:val="000000"/>
          <w:spacing w:val="0"/>
          <w:w w:val="100"/>
          <w:position w:val="0"/>
          <w:sz w:val="32"/>
          <w:szCs w:val="32"/>
          <w:lang w:eastAsia="zh-CN"/>
        </w:rPr>
        <w:t>《</w:t>
      </w:r>
      <w:r>
        <w:rPr>
          <w:rFonts w:hint="eastAsia" w:ascii="Times New Roman" w:hAnsi="Times New Roman" w:eastAsia="仿宋_GB2312" w:cs="仿宋_GB2312"/>
          <w:i w:val="0"/>
          <w:caps w:val="0"/>
          <w:color w:val="auto"/>
          <w:spacing w:val="0"/>
          <w:sz w:val="32"/>
          <w:szCs w:val="32"/>
          <w:shd w:val="clear" w:color="auto" w:fill="FFFFFF"/>
          <w:lang w:eastAsia="zh-CN"/>
        </w:rPr>
        <w:t>国家基本医疗保险、工伤保险和生育保险药品目录（</w:t>
      </w:r>
      <w:r>
        <w:rPr>
          <w:rFonts w:hint="eastAsia" w:ascii="Times New Roman" w:hAnsi="Times New Roman" w:eastAsia="仿宋_GB2312" w:cs="仿宋_GB2312"/>
          <w:i w:val="0"/>
          <w:caps w:val="0"/>
          <w:color w:val="auto"/>
          <w:spacing w:val="0"/>
          <w:sz w:val="32"/>
          <w:szCs w:val="32"/>
          <w:shd w:val="clear" w:color="auto" w:fill="FFFFFF"/>
          <w:lang w:val="en-US" w:eastAsia="zh-CN"/>
        </w:rPr>
        <w:t>2021年</w:t>
      </w:r>
      <w:r>
        <w:rPr>
          <w:rFonts w:hint="eastAsia" w:ascii="Times New Roman" w:hAnsi="Times New Roman" w:eastAsia="仿宋_GB2312" w:cs="仿宋_GB2312"/>
          <w:i w:val="0"/>
          <w:caps w:val="0"/>
          <w:color w:val="auto"/>
          <w:spacing w:val="0"/>
          <w:sz w:val="32"/>
          <w:szCs w:val="32"/>
          <w:shd w:val="clear" w:color="auto" w:fill="FFFFFF"/>
          <w:lang w:eastAsia="zh-CN"/>
        </w:rPr>
        <w:t>）》（以下简称</w:t>
      </w:r>
      <w:r>
        <w:rPr>
          <w:rFonts w:hint="eastAsia" w:ascii="Times New Roman" w:hAnsi="Times New Roman" w:eastAsia="仿宋_GB2312" w:cs="仿宋_GB2312"/>
          <w:color w:val="000000"/>
          <w:spacing w:val="0"/>
          <w:w w:val="100"/>
          <w:position w:val="0"/>
          <w:sz w:val="32"/>
          <w:szCs w:val="32"/>
        </w:rPr>
        <w:t>《国家药品目录（2021年）》，凡例、药品通用名、药品分类、剂型和限定支付范围等按照国家规定执行。</w:t>
      </w:r>
    </w:p>
    <w:p>
      <w:pPr>
        <w:pStyle w:val="8"/>
        <w:keepNext w:val="0"/>
        <w:keepLines w:val="0"/>
        <w:pageBreakBefore w:val="0"/>
        <w:widowControl w:val="0"/>
        <w:shd w:val="clear" w:color="auto" w:fill="auto"/>
        <w:tabs>
          <w:tab w:val="left" w:pos="1300"/>
        </w:tabs>
        <w:kinsoku/>
        <w:wordWrap/>
        <w:overflowPunct/>
        <w:topLinePunct w:val="0"/>
        <w:autoSpaceDE/>
        <w:autoSpaceDN/>
        <w:bidi w:val="0"/>
        <w:adjustRightInd/>
        <w:snapToGrid/>
        <w:spacing w:before="0" w:after="0" w:line="560" w:lineRule="exact"/>
        <w:ind w:left="0" w:right="0" w:firstLine="74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pacing w:val="0"/>
          <w:w w:val="100"/>
          <w:position w:val="0"/>
          <w:sz w:val="32"/>
          <w:szCs w:val="32"/>
          <w:lang w:eastAsia="zh-CN"/>
        </w:rPr>
        <w:t>二、对新纳入</w:t>
      </w:r>
      <w:r>
        <w:rPr>
          <w:rFonts w:hint="eastAsia" w:ascii="Times New Roman" w:hAnsi="Times New Roman" w:eastAsia="仿宋_GB2312" w:cs="仿宋_GB2312"/>
          <w:color w:val="000000"/>
          <w:spacing w:val="0"/>
          <w:w w:val="100"/>
          <w:position w:val="0"/>
          <w:sz w:val="32"/>
          <w:szCs w:val="32"/>
        </w:rPr>
        <w:t>《国家药品目录 （2021年）》</w:t>
      </w:r>
      <w:r>
        <w:rPr>
          <w:rFonts w:hint="eastAsia" w:ascii="Times New Roman" w:hAnsi="Times New Roman" w:eastAsia="仿宋_GB2312" w:cs="仿宋_GB2312"/>
          <w:sz w:val="32"/>
          <w:szCs w:val="32"/>
          <w:lang w:val="en-US" w:eastAsia="zh-CN"/>
        </w:rPr>
        <w:t>的乙类药品，根据参保人员参保性质和药品分类，执行不同的</w:t>
      </w:r>
      <w:r>
        <w:rPr>
          <w:rFonts w:ascii="Times New Roman" w:hAnsi="Times New Roman" w:eastAsia="仿宋_GB2312" w:cs="Times New Roman"/>
          <w:sz w:val="32"/>
          <w:szCs w:val="32"/>
        </w:rPr>
        <w:t>个人</w:t>
      </w:r>
      <w:r>
        <w:rPr>
          <w:rFonts w:hint="eastAsia" w:ascii="Times New Roman" w:hAnsi="Times New Roman" w:eastAsia="仿宋_GB2312" w:cs="Times New Roman"/>
          <w:sz w:val="32"/>
          <w:szCs w:val="32"/>
          <w:lang w:eastAsia="zh-CN"/>
        </w:rPr>
        <w:t>先</w:t>
      </w:r>
      <w:r>
        <w:rPr>
          <w:rFonts w:ascii="Times New Roman" w:hAnsi="Times New Roman" w:eastAsia="仿宋_GB2312" w:cs="Times New Roman"/>
          <w:sz w:val="32"/>
          <w:szCs w:val="32"/>
        </w:rPr>
        <w:t>自付比例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auto"/>
          <w:sz w:val="32"/>
          <w:szCs w:val="32"/>
          <w:lang w:eastAsia="zh-CN"/>
        </w:rPr>
        <w:t>其中参保职工使用乙类西药、中成药的</w:t>
      </w:r>
      <w:r>
        <w:rPr>
          <w:rFonts w:ascii="Times New Roman" w:hAnsi="Times New Roman" w:eastAsia="仿宋_GB2312" w:cs="Times New Roman"/>
          <w:color w:val="auto"/>
          <w:sz w:val="32"/>
          <w:szCs w:val="32"/>
        </w:rPr>
        <w:t>个人</w:t>
      </w:r>
      <w:r>
        <w:rPr>
          <w:rFonts w:hint="eastAsia" w:ascii="Times New Roman" w:hAnsi="Times New Roman" w:eastAsia="仿宋_GB2312" w:cs="Times New Roman"/>
          <w:color w:val="auto"/>
          <w:sz w:val="32"/>
          <w:szCs w:val="32"/>
          <w:lang w:eastAsia="zh-CN"/>
        </w:rPr>
        <w:t>先</w:t>
      </w:r>
      <w:r>
        <w:rPr>
          <w:rFonts w:ascii="Times New Roman" w:hAnsi="Times New Roman" w:eastAsia="仿宋_GB2312" w:cs="Times New Roman"/>
          <w:color w:val="auto"/>
          <w:sz w:val="32"/>
          <w:szCs w:val="32"/>
        </w:rPr>
        <w:t>自付比例</w:t>
      </w:r>
      <w:r>
        <w:rPr>
          <w:rFonts w:hint="eastAsia" w:ascii="Times New Roman" w:hAnsi="Times New Roman" w:eastAsia="仿宋_GB2312" w:cs="Times New Roman"/>
          <w:color w:val="auto"/>
          <w:sz w:val="32"/>
          <w:szCs w:val="32"/>
          <w:lang w:eastAsia="zh-CN"/>
        </w:rPr>
        <w:t>分别为</w:t>
      </w:r>
      <w:r>
        <w:rPr>
          <w:rFonts w:hint="eastAsia" w:ascii="Times New Roman" w:hAnsi="Times New Roman" w:eastAsia="仿宋_GB2312" w:cs="Times New Roman"/>
          <w:color w:val="auto"/>
          <w:sz w:val="32"/>
          <w:szCs w:val="32"/>
          <w:lang w:val="en-US" w:eastAsia="zh-CN"/>
        </w:rPr>
        <w:t>20%、15%；参保居民的</w:t>
      </w:r>
      <w:r>
        <w:rPr>
          <w:rFonts w:ascii="Times New Roman" w:hAnsi="Times New Roman" w:eastAsia="仿宋_GB2312" w:cs="Times New Roman"/>
          <w:color w:val="auto"/>
          <w:sz w:val="32"/>
          <w:szCs w:val="32"/>
        </w:rPr>
        <w:t>个人</w:t>
      </w:r>
      <w:r>
        <w:rPr>
          <w:rFonts w:hint="eastAsia" w:ascii="Times New Roman" w:hAnsi="Times New Roman" w:eastAsia="仿宋_GB2312" w:cs="Times New Roman"/>
          <w:color w:val="auto"/>
          <w:sz w:val="32"/>
          <w:szCs w:val="32"/>
          <w:lang w:eastAsia="zh-CN"/>
        </w:rPr>
        <w:t>先</w:t>
      </w:r>
      <w:r>
        <w:rPr>
          <w:rFonts w:ascii="Times New Roman" w:hAnsi="Times New Roman" w:eastAsia="仿宋_GB2312" w:cs="Times New Roman"/>
          <w:color w:val="auto"/>
          <w:sz w:val="32"/>
          <w:szCs w:val="32"/>
        </w:rPr>
        <w:t>自付比例</w:t>
      </w:r>
      <w:r>
        <w:rPr>
          <w:rFonts w:hint="eastAsia" w:ascii="Times New Roman" w:hAnsi="Times New Roman" w:eastAsia="仿宋_GB2312" w:cs="Times New Roman"/>
          <w:color w:val="auto"/>
          <w:sz w:val="32"/>
          <w:szCs w:val="32"/>
          <w:lang w:val="en-US" w:eastAsia="zh-CN"/>
        </w:rPr>
        <w:t>分别为25%、20%，同时将我市现</w:t>
      </w:r>
      <w:r>
        <w:rPr>
          <w:rFonts w:hint="eastAsia" w:ascii="Times New Roman" w:hAnsi="Times New Roman" w:eastAsia="仿宋_GB2312" w:cs="仿宋_GB2312"/>
          <w:color w:val="auto"/>
          <w:spacing w:val="0"/>
          <w:w w:val="100"/>
          <w:position w:val="0"/>
          <w:sz w:val="32"/>
          <w:szCs w:val="32"/>
          <w:lang w:eastAsia="zh-CN"/>
        </w:rPr>
        <w:t>药品目录中个人先自付比例超过上述标准的</w:t>
      </w:r>
      <w:r>
        <w:rPr>
          <w:rFonts w:hint="eastAsia" w:ascii="Times New Roman" w:hAnsi="Times New Roman" w:eastAsia="仿宋_GB2312" w:cs="Times New Roman"/>
          <w:color w:val="auto"/>
          <w:sz w:val="32"/>
          <w:szCs w:val="32"/>
          <w:lang w:eastAsia="zh-CN"/>
        </w:rPr>
        <w:t>乙类</w:t>
      </w:r>
      <w:r>
        <w:rPr>
          <w:rFonts w:hint="eastAsia" w:ascii="Times New Roman" w:hAnsi="Times New Roman" w:eastAsia="仿宋_GB2312" w:cs="仿宋_GB2312"/>
          <w:color w:val="auto"/>
          <w:spacing w:val="0"/>
          <w:w w:val="100"/>
          <w:position w:val="0"/>
          <w:sz w:val="32"/>
          <w:szCs w:val="32"/>
          <w:lang w:val="en-US" w:eastAsia="zh-CN"/>
        </w:rPr>
        <w:t>西药，个人先自付比例下调至职工</w:t>
      </w:r>
      <w:r>
        <w:rPr>
          <w:rFonts w:hint="eastAsia" w:ascii="Times New Roman" w:hAnsi="Times New Roman" w:eastAsia="仿宋_GB2312" w:cs="Times New Roman"/>
          <w:color w:val="auto"/>
          <w:sz w:val="32"/>
          <w:szCs w:val="32"/>
          <w:lang w:val="en-US" w:eastAsia="zh-CN"/>
        </w:rPr>
        <w:t>20%、居民25%；</w:t>
      </w:r>
      <w:r>
        <w:rPr>
          <w:rFonts w:hint="eastAsia" w:ascii="Times New Roman" w:hAnsi="Times New Roman" w:eastAsia="仿宋_GB2312" w:cs="Times New Roman"/>
          <w:color w:val="auto"/>
          <w:sz w:val="32"/>
          <w:szCs w:val="32"/>
          <w:lang w:eastAsia="zh-CN"/>
        </w:rPr>
        <w:t>治疗性院内制剂、</w:t>
      </w:r>
      <w:r>
        <w:rPr>
          <w:rFonts w:hint="eastAsia" w:ascii="Times New Roman" w:hAnsi="Times New Roman" w:eastAsia="仿宋_GB2312" w:cs="仿宋_GB2312"/>
          <w:color w:val="auto"/>
          <w:kern w:val="0"/>
          <w:sz w:val="32"/>
          <w:szCs w:val="32"/>
          <w:lang w:val="en-US" w:eastAsia="zh-CN" w:bidi="ar"/>
        </w:rPr>
        <w:t>严重精神障碍用药、中药颗粒的个人自付比例按现规定执行。</w:t>
      </w:r>
      <w:r>
        <w:rPr>
          <w:rFonts w:hint="eastAsia" w:ascii="Times New Roman" w:hAnsi="Times New Roman" w:eastAsia="仿宋_GB2312" w:cs="仿宋_GB2312"/>
          <w:kern w:val="0"/>
          <w:sz w:val="32"/>
          <w:szCs w:val="32"/>
          <w:lang w:val="en-US" w:eastAsia="zh-CN" w:bidi="ar"/>
        </w:rPr>
        <w:t>工伤保险和生育保险支付药品费用时不区分甲、乙类。</w:t>
      </w:r>
    </w:p>
    <w:p>
      <w:pPr>
        <w:pStyle w:val="8"/>
        <w:keepNext w:val="0"/>
        <w:keepLines w:val="0"/>
        <w:pageBreakBefore w:val="0"/>
        <w:widowControl w:val="0"/>
        <w:shd w:val="clear" w:color="auto" w:fill="auto"/>
        <w:tabs>
          <w:tab w:val="left" w:pos="1245"/>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pacing w:val="0"/>
          <w:w w:val="100"/>
          <w:position w:val="0"/>
          <w:sz w:val="32"/>
          <w:szCs w:val="32"/>
          <w:lang w:eastAsia="zh-CN"/>
        </w:rPr>
        <w:t>三</w:t>
      </w:r>
      <w:r>
        <w:rPr>
          <w:rFonts w:hint="eastAsia" w:ascii="Times New Roman" w:hAnsi="Times New Roman" w:eastAsia="仿宋_GB2312" w:cs="仿宋_GB2312"/>
          <w:color w:val="000000"/>
          <w:spacing w:val="0"/>
          <w:w w:val="100"/>
          <w:position w:val="0"/>
          <w:sz w:val="32"/>
          <w:szCs w:val="32"/>
        </w:rPr>
        <w:t>、协议期内谈判药品（以下简称</w:t>
      </w:r>
      <w:r>
        <w:rPr>
          <w:rFonts w:hint="eastAsia" w:ascii="Times New Roman" w:hAnsi="Times New Roman" w:eastAsia="仿宋_GB2312" w:cs="仿宋_GB2312"/>
          <w:color w:val="000000"/>
          <w:spacing w:val="0"/>
          <w:w w:val="100"/>
          <w:position w:val="0"/>
          <w:sz w:val="32"/>
          <w:szCs w:val="32"/>
          <w:lang w:eastAsia="zh-CN"/>
        </w:rPr>
        <w:t>国</w:t>
      </w:r>
      <w:r>
        <w:rPr>
          <w:rFonts w:hint="eastAsia" w:ascii="Times New Roman" w:hAnsi="Times New Roman" w:eastAsia="仿宋_GB2312" w:cs="仿宋_GB2312"/>
          <w:color w:val="000000"/>
          <w:spacing w:val="0"/>
          <w:w w:val="100"/>
          <w:position w:val="0"/>
          <w:sz w:val="32"/>
          <w:szCs w:val="32"/>
        </w:rPr>
        <w:t>谈药品）按照乙类药品有关规定支付，</w:t>
      </w:r>
      <w:r>
        <w:rPr>
          <w:rFonts w:hint="eastAsia" w:ascii="Times New Roman" w:hAnsi="Times New Roman" w:eastAsia="仿宋_GB2312" w:cs="仿宋_GB2312"/>
          <w:color w:val="000000"/>
          <w:spacing w:val="0"/>
          <w:w w:val="100"/>
          <w:position w:val="0"/>
          <w:sz w:val="32"/>
          <w:szCs w:val="32"/>
          <w:lang w:eastAsia="zh-CN"/>
        </w:rPr>
        <w:t>支付标准统一执行国家规定，</w:t>
      </w:r>
      <w:r>
        <w:rPr>
          <w:rFonts w:hint="eastAsia" w:ascii="Times New Roman" w:hAnsi="Times New Roman" w:eastAsia="仿宋_GB2312" w:cs="仿宋_GB2312"/>
          <w:color w:val="000000"/>
          <w:spacing w:val="0"/>
          <w:w w:val="100"/>
          <w:position w:val="0"/>
          <w:sz w:val="32"/>
          <w:szCs w:val="32"/>
        </w:rPr>
        <w:t>协议期内不得进行二次议价。</w:t>
      </w:r>
      <w:r>
        <w:rPr>
          <w:rFonts w:hint="eastAsia" w:ascii="Times New Roman" w:hAnsi="Times New Roman" w:eastAsia="仿宋_GB2312" w:cs="仿宋_GB2312"/>
          <w:color w:val="000000"/>
          <w:spacing w:val="0"/>
          <w:w w:val="100"/>
          <w:position w:val="0"/>
          <w:sz w:val="32"/>
          <w:szCs w:val="32"/>
          <w:lang w:eastAsia="zh-CN"/>
        </w:rPr>
        <w:t>《</w:t>
      </w:r>
      <w:r>
        <w:rPr>
          <w:rFonts w:hint="eastAsia" w:ascii="Times New Roman" w:hAnsi="Times New Roman" w:eastAsia="仿宋_GB2312" w:cs="仿宋_GB2312"/>
          <w:color w:val="000000"/>
          <w:spacing w:val="0"/>
          <w:w w:val="100"/>
          <w:position w:val="0"/>
          <w:sz w:val="32"/>
          <w:szCs w:val="32"/>
        </w:rPr>
        <w:t>国家药品目录 （2021年）》</w:t>
      </w:r>
      <w:r>
        <w:rPr>
          <w:rFonts w:hint="eastAsia" w:ascii="Times New Roman" w:hAnsi="Times New Roman" w:eastAsia="仿宋_GB2312" w:cs="仿宋_GB2312"/>
          <w:color w:val="000000"/>
          <w:spacing w:val="0"/>
          <w:w w:val="100"/>
          <w:position w:val="0"/>
          <w:sz w:val="32"/>
          <w:szCs w:val="32"/>
          <w:lang w:eastAsia="zh-CN"/>
        </w:rPr>
        <w:t>中医保支付标准有“</w:t>
      </w:r>
      <w:r>
        <w:rPr>
          <w:rFonts w:hint="default" w:ascii="Times New Roman" w:hAnsi="Times New Roman" w:eastAsia="仿宋_GB2312" w:cs="Arial"/>
          <w:color w:val="000000"/>
          <w:spacing w:val="0"/>
          <w:w w:val="100"/>
          <w:position w:val="0"/>
          <w:sz w:val="32"/>
          <w:szCs w:val="32"/>
          <w:lang w:eastAsia="zh-CN"/>
        </w:rPr>
        <w:t>※</w:t>
      </w:r>
      <w:r>
        <w:rPr>
          <w:rFonts w:hint="eastAsia" w:ascii="Times New Roman" w:hAnsi="Times New Roman" w:eastAsia="仿宋_GB2312" w:cs="仿宋_GB2312"/>
          <w:color w:val="000000"/>
          <w:spacing w:val="0"/>
          <w:w w:val="100"/>
          <w:position w:val="0"/>
          <w:sz w:val="32"/>
          <w:szCs w:val="32"/>
          <w:lang w:eastAsia="zh-CN"/>
        </w:rPr>
        <w:t>”标识的，各区市医保和人社部门不得在公开发文、新闻宣传等公开途径中公布。</w:t>
      </w:r>
      <w:r>
        <w:rPr>
          <w:rFonts w:hint="eastAsia" w:ascii="Times New Roman" w:hAnsi="Times New Roman" w:eastAsia="仿宋_GB2312" w:cs="仿宋_GB2312"/>
          <w:color w:val="000000"/>
          <w:spacing w:val="0"/>
          <w:w w:val="100"/>
          <w:position w:val="0"/>
          <w:sz w:val="32"/>
          <w:szCs w:val="32"/>
        </w:rPr>
        <w:t>协议期内，若</w:t>
      </w:r>
      <w:r>
        <w:rPr>
          <w:rFonts w:hint="eastAsia" w:ascii="Times New Roman" w:hAnsi="Times New Roman" w:eastAsia="仿宋_GB2312" w:cs="仿宋_GB2312"/>
          <w:color w:val="000000"/>
          <w:spacing w:val="0"/>
          <w:w w:val="100"/>
          <w:position w:val="0"/>
          <w:sz w:val="32"/>
          <w:szCs w:val="32"/>
          <w:lang w:eastAsia="zh-CN"/>
        </w:rPr>
        <w:t>国</w:t>
      </w:r>
      <w:r>
        <w:rPr>
          <w:rFonts w:hint="eastAsia" w:ascii="Times New Roman" w:hAnsi="Times New Roman" w:eastAsia="仿宋_GB2312" w:cs="仿宋_GB2312"/>
          <w:color w:val="000000"/>
          <w:spacing w:val="0"/>
          <w:w w:val="100"/>
          <w:position w:val="0"/>
          <w:sz w:val="32"/>
          <w:szCs w:val="32"/>
        </w:rPr>
        <w:t>谈药品存在国家医保药品目录未载明的规格需纳入医保支付范围，</w:t>
      </w:r>
      <w:r>
        <w:rPr>
          <w:rFonts w:hint="eastAsia" w:ascii="Times New Roman" w:hAnsi="Times New Roman" w:eastAsia="仿宋_GB2312" w:cs="仿宋_GB2312"/>
          <w:color w:val="000000"/>
          <w:spacing w:val="0"/>
          <w:w w:val="100"/>
          <w:position w:val="0"/>
          <w:sz w:val="32"/>
          <w:szCs w:val="32"/>
          <w:lang w:eastAsia="zh-CN"/>
        </w:rPr>
        <w:t>按</w:t>
      </w:r>
      <w:r>
        <w:rPr>
          <w:rFonts w:hint="eastAsia" w:ascii="Times New Roman" w:hAnsi="Times New Roman" w:eastAsia="仿宋_GB2312" w:cs="仿宋_GB2312"/>
          <w:color w:val="000000"/>
          <w:spacing w:val="0"/>
          <w:w w:val="100"/>
          <w:position w:val="0"/>
          <w:sz w:val="32"/>
          <w:szCs w:val="32"/>
        </w:rPr>
        <w:t>国家医保局确定</w:t>
      </w:r>
      <w:r>
        <w:rPr>
          <w:rFonts w:hint="eastAsia" w:ascii="Times New Roman" w:hAnsi="Times New Roman" w:eastAsia="仿宋_GB2312" w:cs="仿宋_GB2312"/>
          <w:color w:val="000000"/>
          <w:spacing w:val="0"/>
          <w:w w:val="100"/>
          <w:position w:val="0"/>
          <w:sz w:val="32"/>
          <w:szCs w:val="32"/>
          <w:lang w:eastAsia="zh-CN"/>
        </w:rPr>
        <w:t>的</w:t>
      </w:r>
      <w:r>
        <w:rPr>
          <w:rFonts w:hint="eastAsia" w:ascii="Times New Roman" w:hAnsi="Times New Roman" w:eastAsia="仿宋_GB2312" w:cs="仿宋_GB2312"/>
          <w:color w:val="000000"/>
          <w:spacing w:val="0"/>
          <w:w w:val="100"/>
          <w:position w:val="0"/>
          <w:sz w:val="32"/>
          <w:szCs w:val="32"/>
        </w:rPr>
        <w:t>支付标准执行。协议期内如有与谈判药品同通用名药品上市，同通用名药品的直接挂网价格不得高于谈判确定的同规格医保支付标准。</w:t>
      </w:r>
    </w:p>
    <w:p>
      <w:pPr>
        <w:pStyle w:val="8"/>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pacing w:val="0"/>
          <w:w w:val="100"/>
          <w:position w:val="0"/>
          <w:sz w:val="32"/>
          <w:szCs w:val="32"/>
          <w:lang w:eastAsia="zh-CN"/>
        </w:rPr>
        <w:t>四、</w:t>
      </w:r>
      <w:r>
        <w:rPr>
          <w:rFonts w:hint="eastAsia" w:ascii="Times New Roman" w:hAnsi="Times New Roman" w:eastAsia="仿宋_GB2312" w:cs="仿宋_GB2312"/>
          <w:color w:val="000000"/>
          <w:spacing w:val="0"/>
          <w:w w:val="100"/>
          <w:position w:val="0"/>
          <w:sz w:val="32"/>
          <w:szCs w:val="32"/>
        </w:rPr>
        <w:t>对目前剩余的原省增补药品，</w:t>
      </w:r>
      <w:r>
        <w:rPr>
          <w:rFonts w:hint="eastAsia" w:ascii="Times New Roman" w:hAnsi="Times New Roman" w:eastAsia="仿宋_GB2312" w:cs="仿宋_GB2312"/>
          <w:color w:val="000000"/>
          <w:spacing w:val="0"/>
          <w:w w:val="100"/>
          <w:position w:val="0"/>
          <w:sz w:val="32"/>
          <w:szCs w:val="32"/>
          <w:lang w:eastAsia="zh-CN"/>
        </w:rPr>
        <w:t>将按照</w:t>
      </w:r>
      <w:r>
        <w:rPr>
          <w:rFonts w:hint="eastAsia" w:ascii="Times New Roman" w:hAnsi="Times New Roman" w:eastAsia="仿宋_GB2312" w:cs="仿宋_GB2312"/>
          <w:color w:val="000000"/>
          <w:spacing w:val="0"/>
          <w:w w:val="100"/>
          <w:position w:val="0"/>
          <w:sz w:val="32"/>
          <w:szCs w:val="32"/>
        </w:rPr>
        <w:t>省医保局统一部署完成调出工作。对大病保险</w:t>
      </w:r>
      <w:r>
        <w:rPr>
          <w:rFonts w:hint="eastAsia" w:ascii="Times New Roman" w:hAnsi="Times New Roman" w:eastAsia="仿宋_GB2312" w:cs="仿宋_GB2312"/>
          <w:color w:val="000000"/>
          <w:spacing w:val="0"/>
          <w:w w:val="100"/>
          <w:position w:val="0"/>
          <w:sz w:val="32"/>
          <w:szCs w:val="32"/>
          <w:lang w:eastAsia="zh-CN"/>
        </w:rPr>
        <w:t>特定药品</w:t>
      </w:r>
      <w:r>
        <w:rPr>
          <w:rFonts w:hint="eastAsia" w:ascii="Times New Roman" w:hAnsi="Times New Roman" w:eastAsia="仿宋_GB2312" w:cs="仿宋_GB2312"/>
          <w:color w:val="000000"/>
          <w:spacing w:val="0"/>
          <w:w w:val="100"/>
          <w:position w:val="0"/>
          <w:sz w:val="32"/>
          <w:szCs w:val="32"/>
        </w:rPr>
        <w:t>，已纳入《国家药品目录（ 2021 年）》的，按照国家规定执行，做好政策衔接；未纳入的暂按</w:t>
      </w:r>
      <w:r>
        <w:rPr>
          <w:rFonts w:hint="eastAsia" w:ascii="Times New Roman" w:hAnsi="Times New Roman" w:eastAsia="仿宋_GB2312" w:cs="仿宋_GB2312"/>
          <w:color w:val="000000"/>
          <w:spacing w:val="0"/>
          <w:w w:val="100"/>
          <w:position w:val="0"/>
          <w:sz w:val="32"/>
          <w:szCs w:val="32"/>
          <w:lang w:eastAsia="zh-CN"/>
        </w:rPr>
        <w:t>现</w:t>
      </w:r>
      <w:r>
        <w:rPr>
          <w:rFonts w:hint="eastAsia" w:ascii="Times New Roman" w:hAnsi="Times New Roman" w:eastAsia="仿宋_GB2312" w:cs="仿宋_GB2312"/>
          <w:color w:val="000000"/>
          <w:spacing w:val="0"/>
          <w:w w:val="100"/>
          <w:position w:val="0"/>
          <w:sz w:val="32"/>
          <w:szCs w:val="32"/>
        </w:rPr>
        <w:t>规定执行。</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pacing w:val="0"/>
          <w:w w:val="100"/>
          <w:position w:val="0"/>
          <w:sz w:val="32"/>
          <w:szCs w:val="32"/>
          <w:lang w:eastAsia="zh-CN"/>
        </w:rPr>
        <w:t>五</w:t>
      </w:r>
      <w:r>
        <w:rPr>
          <w:rFonts w:hint="eastAsia" w:ascii="Times New Roman" w:hAnsi="Times New Roman" w:eastAsia="仿宋_GB2312" w:cs="仿宋_GB2312"/>
          <w:color w:val="000000"/>
          <w:spacing w:val="0"/>
          <w:w w:val="100"/>
          <w:position w:val="0"/>
          <w:sz w:val="32"/>
          <w:szCs w:val="32"/>
        </w:rPr>
        <w:t>、中药饮片和省级药品监督管理部门批准的治疗性医疗机构制剂</w:t>
      </w:r>
      <w:r>
        <w:rPr>
          <w:rFonts w:hint="eastAsia" w:ascii="Times New Roman" w:hAnsi="Times New Roman" w:eastAsia="仿宋_GB2312" w:cs="仿宋_GB2312"/>
          <w:color w:val="000000"/>
          <w:spacing w:val="0"/>
          <w:w w:val="100"/>
          <w:position w:val="0"/>
          <w:sz w:val="32"/>
          <w:szCs w:val="32"/>
          <w:lang w:eastAsia="zh-CN"/>
        </w:rPr>
        <w:t>，在</w:t>
      </w:r>
      <w:r>
        <w:rPr>
          <w:rFonts w:hint="eastAsia" w:ascii="Times New Roman" w:hAnsi="Times New Roman" w:eastAsia="仿宋_GB2312" w:cs="仿宋_GB2312"/>
          <w:color w:val="000000"/>
          <w:spacing w:val="0"/>
          <w:w w:val="100"/>
          <w:position w:val="0"/>
          <w:sz w:val="32"/>
          <w:szCs w:val="32"/>
        </w:rPr>
        <w:t>国家和省出台新规定</w:t>
      </w:r>
      <w:r>
        <w:rPr>
          <w:rFonts w:hint="eastAsia" w:ascii="Times New Roman" w:hAnsi="Times New Roman" w:eastAsia="仿宋_GB2312" w:cs="仿宋_GB2312"/>
          <w:color w:val="000000"/>
          <w:spacing w:val="0"/>
          <w:w w:val="100"/>
          <w:position w:val="0"/>
          <w:sz w:val="32"/>
          <w:szCs w:val="32"/>
          <w:lang w:eastAsia="zh-CN"/>
        </w:rPr>
        <w:t>前，</w:t>
      </w:r>
      <w:r>
        <w:rPr>
          <w:rFonts w:hint="eastAsia" w:ascii="Times New Roman" w:hAnsi="Times New Roman" w:eastAsia="仿宋_GB2312" w:cs="仿宋_GB2312"/>
          <w:color w:val="000000"/>
          <w:spacing w:val="0"/>
          <w:w w:val="100"/>
          <w:position w:val="0"/>
          <w:sz w:val="32"/>
          <w:szCs w:val="32"/>
        </w:rPr>
        <w:t>暂按</w:t>
      </w:r>
      <w:r>
        <w:rPr>
          <w:rFonts w:hint="eastAsia" w:ascii="Times New Roman" w:hAnsi="Times New Roman" w:eastAsia="仿宋_GB2312" w:cs="仿宋_GB2312"/>
          <w:color w:val="000000"/>
          <w:spacing w:val="0"/>
          <w:w w:val="100"/>
          <w:position w:val="0"/>
          <w:sz w:val="32"/>
          <w:szCs w:val="32"/>
          <w:lang w:eastAsia="zh-CN"/>
        </w:rPr>
        <w:t>现</w:t>
      </w:r>
      <w:r>
        <w:rPr>
          <w:rFonts w:hint="eastAsia" w:ascii="Times New Roman" w:hAnsi="Times New Roman" w:eastAsia="仿宋_GB2312" w:cs="仿宋_GB2312"/>
          <w:color w:val="000000"/>
          <w:spacing w:val="0"/>
          <w:w w:val="100"/>
          <w:position w:val="0"/>
          <w:sz w:val="32"/>
          <w:szCs w:val="32"/>
        </w:rPr>
        <w:t>规定执行</w:t>
      </w:r>
      <w:r>
        <w:rPr>
          <w:rFonts w:hint="eastAsia" w:ascii="Times New Roman" w:hAnsi="Times New Roman" w:eastAsia="仿宋_GB2312" w:cs="仿宋_GB2312"/>
          <w:color w:val="000000"/>
          <w:spacing w:val="0"/>
          <w:w w:val="100"/>
          <w:positio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color w:val="000000"/>
          <w:spacing w:val="0"/>
          <w:w w:val="100"/>
          <w:position w:val="0"/>
          <w:sz w:val="32"/>
          <w:szCs w:val="32"/>
          <w:lang w:eastAsia="zh-CN"/>
        </w:rPr>
        <w:t>六、</w:t>
      </w:r>
      <w:r>
        <w:rPr>
          <w:rFonts w:hint="eastAsia" w:ascii="Times New Roman" w:hAnsi="Times New Roman" w:eastAsia="仿宋_GB2312" w:cs="仿宋_GB2312"/>
          <w:color w:val="000000"/>
          <w:spacing w:val="0"/>
          <w:w w:val="100"/>
          <w:position w:val="0"/>
          <w:sz w:val="32"/>
          <w:szCs w:val="32"/>
        </w:rPr>
        <w:t>医保定点医疗机构、工伤保险协议医疗机构和工伤康复协议机构</w:t>
      </w:r>
      <w:r>
        <w:rPr>
          <w:rFonts w:hint="eastAsia" w:ascii="Times New Roman" w:hAnsi="Times New Roman" w:eastAsia="仿宋_GB2312" w:cs="仿宋_GB2312"/>
          <w:color w:val="000000"/>
          <w:spacing w:val="0"/>
          <w:w w:val="100"/>
          <w:position w:val="0"/>
          <w:sz w:val="32"/>
          <w:szCs w:val="32"/>
          <w:lang w:eastAsia="zh-CN"/>
        </w:rPr>
        <w:t>要</w:t>
      </w:r>
      <w:r>
        <w:rPr>
          <w:rFonts w:hint="eastAsia" w:ascii="Times New Roman" w:hAnsi="Times New Roman" w:eastAsia="仿宋_GB2312" w:cs="仿宋_GB2312"/>
          <w:color w:val="000000"/>
          <w:spacing w:val="0"/>
          <w:w w:val="100"/>
          <w:position w:val="0"/>
          <w:sz w:val="32"/>
          <w:szCs w:val="32"/>
          <w:shd w:val="clear" w:color="auto" w:fill="FFFFFF"/>
        </w:rPr>
        <w:t>落实</w:t>
      </w:r>
      <w:r>
        <w:rPr>
          <w:rFonts w:hint="eastAsia" w:ascii="Times New Roman" w:hAnsi="Times New Roman" w:eastAsia="仿宋_GB2312" w:cs="仿宋_GB2312"/>
          <w:color w:val="000000"/>
          <w:spacing w:val="0"/>
          <w:w w:val="100"/>
          <w:position w:val="0"/>
          <w:sz w:val="32"/>
          <w:szCs w:val="32"/>
          <w:shd w:val="clear" w:color="auto" w:fill="FFFFFF"/>
          <w:lang w:eastAsia="zh-CN"/>
        </w:rPr>
        <w:t>好药品配备使用的主体</w:t>
      </w:r>
      <w:r>
        <w:rPr>
          <w:rFonts w:hint="eastAsia" w:ascii="Times New Roman" w:hAnsi="Times New Roman" w:eastAsia="仿宋_GB2312" w:cs="仿宋_GB2312"/>
          <w:color w:val="000000"/>
          <w:spacing w:val="0"/>
          <w:w w:val="100"/>
          <w:position w:val="0"/>
          <w:sz w:val="32"/>
          <w:szCs w:val="32"/>
          <w:shd w:val="clear" w:color="auto" w:fill="FFFFFF"/>
        </w:rPr>
        <w:t>责任</w:t>
      </w:r>
      <w:r>
        <w:rPr>
          <w:rFonts w:hint="eastAsia" w:ascii="Times New Roman" w:hAnsi="Times New Roman" w:eastAsia="仿宋_GB2312" w:cs="仿宋_GB2312"/>
          <w:color w:val="000000"/>
          <w:spacing w:val="0"/>
          <w:w w:val="100"/>
          <w:position w:val="0"/>
          <w:sz w:val="32"/>
          <w:szCs w:val="32"/>
          <w:shd w:val="clear" w:color="auto" w:fill="FFFFFF"/>
          <w:lang w:eastAsia="zh-CN"/>
        </w:rPr>
        <w:t>，</w:t>
      </w:r>
      <w:r>
        <w:rPr>
          <w:rFonts w:hint="eastAsia" w:ascii="Times New Roman" w:hAnsi="Times New Roman" w:eastAsia="仿宋_GB2312" w:cs="仿宋_GB2312"/>
          <w:color w:val="000000"/>
          <w:spacing w:val="0"/>
          <w:w w:val="100"/>
          <w:position w:val="0"/>
          <w:sz w:val="32"/>
          <w:szCs w:val="32"/>
        </w:rPr>
        <w:t>合理配备</w:t>
      </w:r>
      <w:r>
        <w:rPr>
          <w:rFonts w:hint="eastAsia" w:ascii="Times New Roman" w:hAnsi="Times New Roman" w:eastAsia="仿宋_GB2312" w:cs="仿宋_GB2312"/>
          <w:color w:val="000000"/>
          <w:spacing w:val="0"/>
          <w:w w:val="100"/>
          <w:position w:val="0"/>
          <w:sz w:val="32"/>
          <w:szCs w:val="32"/>
          <w:lang w:eastAsia="zh-CN"/>
        </w:rPr>
        <w:t>和</w:t>
      </w:r>
      <w:r>
        <w:rPr>
          <w:rFonts w:hint="default" w:ascii="Times New Roman" w:hAnsi="Times New Roman" w:eastAsia="仿宋_GB2312" w:cs="Times New Roman"/>
          <w:kern w:val="2"/>
          <w:sz w:val="32"/>
          <w:szCs w:val="24"/>
          <w:lang w:val="en-US" w:eastAsia="zh-CN" w:bidi="ar-SA"/>
        </w:rPr>
        <w:t>优先使用</w:t>
      </w:r>
      <w:r>
        <w:rPr>
          <w:rFonts w:hint="eastAsia" w:ascii="Times New Roman" w:hAnsi="Times New Roman" w:eastAsia="仿宋_GB2312" w:cs="仿宋_GB2312"/>
          <w:color w:val="000000"/>
          <w:spacing w:val="0"/>
          <w:w w:val="100"/>
          <w:position w:val="0"/>
          <w:sz w:val="32"/>
          <w:szCs w:val="32"/>
        </w:rPr>
        <w:t>目录内药</w:t>
      </w:r>
      <w:r>
        <w:rPr>
          <w:rFonts w:hint="eastAsia" w:ascii="Times New Roman" w:hAnsi="Times New Roman" w:eastAsia="仿宋_GB2312" w:cs="仿宋_GB2312"/>
          <w:color w:val="000000"/>
          <w:spacing w:val="0"/>
          <w:w w:val="100"/>
          <w:position w:val="0"/>
          <w:sz w:val="32"/>
          <w:szCs w:val="32"/>
          <w:lang w:eastAsia="zh-CN"/>
        </w:rPr>
        <w:t>品，各级医保和人社部门将通过完善管理政策，</w:t>
      </w:r>
      <w:r>
        <w:rPr>
          <w:rFonts w:hint="eastAsia" w:ascii="Times New Roman" w:hAnsi="Times New Roman" w:eastAsia="仿宋_GB2312" w:cs="仿宋_GB2312"/>
          <w:color w:val="000000"/>
          <w:spacing w:val="0"/>
          <w:w w:val="100"/>
          <w:position w:val="0"/>
          <w:sz w:val="32"/>
          <w:szCs w:val="32"/>
        </w:rPr>
        <w:t>加强</w:t>
      </w:r>
      <w:r>
        <w:rPr>
          <w:rFonts w:hint="eastAsia" w:ascii="Times New Roman" w:hAnsi="Times New Roman" w:eastAsia="仿宋_GB2312" w:cs="仿宋_GB2312"/>
          <w:color w:val="000000"/>
          <w:spacing w:val="0"/>
          <w:w w:val="100"/>
          <w:position w:val="0"/>
          <w:sz w:val="32"/>
          <w:szCs w:val="32"/>
          <w:lang w:eastAsia="zh-CN"/>
        </w:rPr>
        <w:t>对</w:t>
      </w:r>
      <w:r>
        <w:rPr>
          <w:rFonts w:hint="eastAsia" w:ascii="Times New Roman" w:hAnsi="Times New Roman" w:eastAsia="仿宋_GB2312" w:cs="仿宋_GB2312"/>
          <w:color w:val="000000"/>
          <w:spacing w:val="0"/>
          <w:w w:val="100"/>
          <w:position w:val="0"/>
          <w:sz w:val="32"/>
          <w:szCs w:val="32"/>
        </w:rPr>
        <w:t>医疗机构配备使用药品情况</w:t>
      </w:r>
      <w:r>
        <w:rPr>
          <w:rFonts w:hint="eastAsia" w:ascii="Times New Roman" w:hAnsi="Times New Roman" w:eastAsia="仿宋_GB2312" w:cs="仿宋_GB2312"/>
          <w:color w:val="000000"/>
          <w:spacing w:val="0"/>
          <w:w w:val="100"/>
          <w:position w:val="0"/>
          <w:sz w:val="32"/>
          <w:szCs w:val="32"/>
          <w:lang w:eastAsia="zh-CN"/>
        </w:rPr>
        <w:t>的</w:t>
      </w:r>
      <w:r>
        <w:rPr>
          <w:rFonts w:hint="eastAsia" w:ascii="Times New Roman" w:hAnsi="Times New Roman" w:eastAsia="仿宋_GB2312" w:cs="仿宋_GB2312"/>
          <w:color w:val="000000"/>
          <w:spacing w:val="0"/>
          <w:w w:val="100"/>
          <w:position w:val="0"/>
          <w:sz w:val="32"/>
          <w:szCs w:val="32"/>
        </w:rPr>
        <w:t>协议管理</w:t>
      </w:r>
      <w:r>
        <w:rPr>
          <w:rFonts w:hint="eastAsia" w:ascii="Times New Roman" w:hAnsi="Times New Roman" w:eastAsia="仿宋_GB2312" w:cs="仿宋_GB2312"/>
          <w:color w:val="000000"/>
          <w:spacing w:val="0"/>
          <w:w w:val="100"/>
          <w:position w:val="0"/>
          <w:sz w:val="32"/>
          <w:szCs w:val="32"/>
          <w:lang w:eastAsia="zh-CN"/>
        </w:rPr>
        <w:t>等</w:t>
      </w:r>
      <w:r>
        <w:rPr>
          <w:rFonts w:hint="eastAsia" w:ascii="Times New Roman" w:hAnsi="Times New Roman" w:eastAsia="仿宋_GB2312" w:cs="仿宋_GB2312"/>
          <w:color w:val="000000"/>
          <w:spacing w:val="0"/>
          <w:w w:val="100"/>
          <w:position w:val="0"/>
          <w:sz w:val="32"/>
          <w:szCs w:val="32"/>
        </w:rPr>
        <w:t>，积极推动新版目录落地</w:t>
      </w:r>
      <w:r>
        <w:rPr>
          <w:rFonts w:hint="eastAsia" w:ascii="Times New Roman" w:hAnsi="Times New Roman" w:eastAsia="仿宋_GB2312" w:cs="仿宋_GB2312"/>
          <w:color w:val="000000"/>
          <w:spacing w:val="0"/>
          <w:w w:val="100"/>
          <w:position w:val="0"/>
          <w:sz w:val="32"/>
          <w:szCs w:val="32"/>
          <w:lang w:eastAsia="zh-CN"/>
        </w:rPr>
        <w:t>执行</w:t>
      </w:r>
      <w:r>
        <w:rPr>
          <w:rFonts w:hint="eastAsia" w:ascii="Times New Roman" w:hAnsi="Times New Roman" w:eastAsia="仿宋_GB2312" w:cs="仿宋_GB2312"/>
          <w:color w:val="000000"/>
          <w:spacing w:val="0"/>
          <w:w w:val="100"/>
          <w:position w:val="0"/>
          <w:sz w:val="32"/>
          <w:szCs w:val="32"/>
        </w:rPr>
        <w:t>。</w:t>
      </w:r>
      <w:r>
        <w:rPr>
          <w:rFonts w:hint="eastAsia" w:ascii="Times New Roman" w:hAnsi="Times New Roman" w:eastAsia="仿宋_GB2312" w:cs="仿宋_GB2312"/>
          <w:color w:val="000000"/>
          <w:spacing w:val="0"/>
          <w:w w:val="100"/>
          <w:position w:val="0"/>
          <w:sz w:val="32"/>
          <w:szCs w:val="32"/>
          <w:lang w:eastAsia="zh-CN"/>
        </w:rPr>
        <w:t>特别是对国谈药品，医保部门将会同有关部门通过压实医疗机构首要责任、健全管理支付政策、完善“双通道”机制等措施，提升供应保障合力，切实保障药品落地。具体办法另行制定。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spacing w:val="0"/>
          <w:w w:val="100"/>
          <w:position w:val="0"/>
          <w:sz w:val="32"/>
          <w:szCs w:val="32"/>
          <w:lang w:val="en-US" w:eastAsia="zh-CN"/>
        </w:rPr>
      </w:pPr>
      <w:r>
        <w:rPr>
          <w:rFonts w:hint="eastAsia" w:ascii="Times New Roman" w:hAnsi="Times New Roman" w:eastAsia="仿宋_GB2312" w:cs="仿宋_GB2312"/>
          <w:color w:val="000000"/>
          <w:spacing w:val="0"/>
          <w:w w:val="100"/>
          <w:position w:val="0"/>
          <w:sz w:val="32"/>
          <w:szCs w:val="32"/>
          <w:lang w:eastAsia="zh-CN"/>
        </w:rPr>
        <w:t>本通知自</w:t>
      </w:r>
      <w:r>
        <w:rPr>
          <w:rFonts w:hint="eastAsia" w:ascii="Times New Roman" w:hAnsi="Times New Roman" w:eastAsia="仿宋_GB2312" w:cs="仿宋_GB2312"/>
          <w:color w:val="000000"/>
          <w:spacing w:val="0"/>
          <w:w w:val="100"/>
          <w:position w:val="0"/>
          <w:sz w:val="32"/>
          <w:szCs w:val="32"/>
          <w:lang w:val="en-US" w:eastAsia="zh-CN"/>
        </w:rPr>
        <w:t>2022年1月1日起执行。以往政策与本通知规定不一致的，以本通知为准。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附件：</w:t>
      </w:r>
      <w:r>
        <w:rPr>
          <w:rFonts w:hint="eastAsia" w:ascii="Times New Roman" w:hAnsi="Times New Roman" w:eastAsia="仿宋_GB2312" w:cs="仿宋_GB2312"/>
          <w:sz w:val="32"/>
          <w:szCs w:val="32"/>
          <w:lang w:val="en-US" w:eastAsia="zh-CN"/>
        </w:rPr>
        <w:t>1.凡例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西药</w:t>
      </w:r>
      <w:r>
        <w:rPr>
          <w:rFonts w:hint="eastAsia" w:ascii="Times New Roman" w:hAnsi="Times New Roman" w:eastAsia="仿宋_GB2312" w:cs="仿宋_GB2312"/>
          <w:sz w:val="32"/>
          <w:szCs w:val="32"/>
          <w:lang w:eastAsia="zh-CN"/>
        </w:rPr>
        <w:t>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中成药</w:t>
      </w:r>
      <w:r>
        <w:rPr>
          <w:rFonts w:hint="eastAsia" w:ascii="Times New Roman" w:hAnsi="Times New Roman" w:eastAsia="仿宋_GB2312" w:cs="仿宋_GB2312"/>
          <w:sz w:val="32"/>
          <w:szCs w:val="32"/>
          <w:lang w:eastAsia="zh-CN"/>
        </w:rPr>
        <w:t>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协议期内谈判药品</w:t>
      </w:r>
      <w:r>
        <w:rPr>
          <w:rFonts w:hint="eastAsia" w:ascii="Times New Roman" w:hAnsi="Times New Roman" w:eastAsia="仿宋_GB2312" w:cs="仿宋_GB2312"/>
          <w:sz w:val="32"/>
          <w:szCs w:val="32"/>
          <w:lang w:eastAsia="zh-CN"/>
        </w:rPr>
        <w:t>部分</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中药饮片</w:t>
      </w:r>
      <w:r>
        <w:rPr>
          <w:rFonts w:hint="eastAsia" w:ascii="Times New Roman" w:hAnsi="Times New Roman" w:eastAsia="仿宋_GB2312" w:cs="仿宋_GB2312"/>
          <w:sz w:val="32"/>
          <w:szCs w:val="32"/>
          <w:lang w:eastAsia="zh-CN"/>
        </w:rPr>
        <w:t>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6.山东省</w:t>
      </w:r>
      <w:r>
        <w:rPr>
          <w:rFonts w:hint="eastAsia" w:eastAsia="仿宋_GB2312" w:cs="仿宋_GB2312"/>
          <w:sz w:val="32"/>
          <w:szCs w:val="32"/>
          <w:lang w:val="en-US" w:eastAsia="zh-CN"/>
        </w:rPr>
        <w:t>暂时保留的</w:t>
      </w:r>
      <w:r>
        <w:rPr>
          <w:rFonts w:hint="eastAsia" w:ascii="Times New Roman" w:hAnsi="Times New Roman" w:eastAsia="仿宋_GB2312" w:cs="仿宋_GB2312"/>
          <w:sz w:val="32"/>
          <w:szCs w:val="32"/>
          <w:lang w:val="en-US" w:eastAsia="zh-CN"/>
        </w:rPr>
        <w:t>非国家药品目录品种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7.治疗性医院制剂部分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spacing w:val="0"/>
          <w:w w:val="100"/>
          <w:position w:val="0"/>
          <w:sz w:val="32"/>
          <w:szCs w:val="32"/>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spacing w:val="0"/>
          <w:w w:val="100"/>
          <w:position w:val="0"/>
          <w:sz w:val="32"/>
          <w:szCs w:val="32"/>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spacing w:val="0"/>
          <w:w w:val="100"/>
          <w:position w:val="0"/>
          <w:sz w:val="32"/>
          <w:szCs w:val="32"/>
          <w:lang w:val="en-US" w:eastAsia="zh-CN"/>
        </w:rPr>
      </w:pPr>
      <w:r>
        <w:rPr>
          <w:rFonts w:hint="eastAsia" w:ascii="Times New Roman" w:hAnsi="Times New Roman" w:eastAsia="仿宋_GB2312" w:cs="仿宋_GB2312"/>
          <w:color w:val="000000"/>
          <w:spacing w:val="0"/>
          <w:w w:val="100"/>
          <w:position w:val="0"/>
          <w:sz w:val="32"/>
          <w:szCs w:val="32"/>
          <w:lang w:val="en-US" w:eastAsia="zh-CN"/>
        </w:rPr>
        <w:t>威海市医疗保障局                  威海市人力资源和社会保障局</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5440" w:firstLineChars="1700"/>
        <w:jc w:val="both"/>
        <w:textAlignment w:val="auto"/>
        <w:rPr>
          <w:rFonts w:hint="eastAsia" w:ascii="Times New Roman" w:hAnsi="Times New Roman" w:eastAsia="仿宋_GB2312" w:cs="仿宋_GB2312"/>
          <w:sz w:val="32"/>
          <w:szCs w:val="32"/>
        </w:rPr>
      </w:pPr>
      <w:bookmarkStart w:id="1" w:name="_GoBack"/>
      <w:bookmarkEnd w:id="1"/>
      <w:r>
        <w:rPr>
          <w:rFonts w:hint="eastAsia" w:ascii="Times New Roman" w:hAnsi="Times New Roman" w:eastAsia="仿宋_GB2312" w:cs="仿宋_GB2312"/>
          <w:color w:val="000000"/>
          <w:spacing w:val="0"/>
          <w:w w:val="100"/>
          <w:position w:val="0"/>
          <w:sz w:val="32"/>
          <w:szCs w:val="32"/>
          <w:lang w:val="en-US" w:eastAsia="zh-CN"/>
        </w:rPr>
        <w:t>2021年12月27日</w:t>
      </w:r>
    </w:p>
    <w:sectPr>
      <w:footerReference r:id="rId6" w:type="first"/>
      <w:footerReference r:id="rId5" w:type="default"/>
      <w:footnotePr>
        <w:numFmt w:val="decimal"/>
      </w:footnotePr>
      <w:pgSz w:w="11900" w:h="16840"/>
      <w:pgMar w:top="2098" w:right="1474" w:bottom="1928" w:left="1587" w:header="0" w:footer="3" w:gutter="0"/>
      <w:pgNumType w:start="1"/>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224155" cy="105410"/>
              <wp:effectExtent l="0" t="0" r="0" b="0"/>
              <wp:wrapNone/>
              <wp:docPr id="7" name="Shape 7"/>
              <wp:cNvGraphicFramePr/>
              <a:graphic xmlns:a="http://schemas.openxmlformats.org/drawingml/2006/main">
                <a:graphicData uri="http://schemas.microsoft.com/office/word/2010/wordprocessingShape">
                  <wps:wsp>
                    <wps:cNvSpPr txBox="1"/>
                    <wps:spPr>
                      <a:xfrm>
                        <a:off x="0" y="0"/>
                        <a:ext cx="224155" cy="10541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2"/>
                              <w:szCs w:val="22"/>
                              <w:lang w:val="en-US" w:eastAsia="en-US" w:bidi="en-US"/>
                            </w:rPr>
                            <w:t>#</w:t>
                          </w:r>
                          <w:r>
                            <w:rPr>
                              <w:rFonts w:ascii="Times New Roman" w:hAnsi="Times New Roman" w:eastAsia="Times New Roman" w:cs="Times New Roman"/>
                              <w:color w:val="000000"/>
                              <w:spacing w:val="0"/>
                              <w:w w:val="100"/>
                              <w:position w:val="0"/>
                              <w:sz w:val="22"/>
                              <w:szCs w:val="22"/>
                              <w:lang w:val="en-US" w:eastAsia="en-US" w:bidi="en-US"/>
                            </w:rPr>
                            <w:fldChar w:fldCharType="end"/>
                          </w:r>
                          <w:r>
                            <w:rPr>
                              <w:rFonts w:ascii="Times New Roman" w:hAnsi="Times New Roman" w:eastAsia="Times New Roman" w:cs="Times New Roman"/>
                              <w:color w:val="000000"/>
                              <w:spacing w:val="0"/>
                              <w:w w:val="100"/>
                              <w:position w:val="0"/>
                              <w:sz w:val="22"/>
                              <w:szCs w:val="22"/>
                              <w:lang w:val="zh-TW" w:eastAsia="zh-TW" w:bidi="zh-TW"/>
                            </w:rPr>
                            <w:t>-</w:t>
                          </w:r>
                        </w:p>
                      </w:txbxContent>
                    </wps:txbx>
                    <wps:bodyPr wrap="none" lIns="0" tIns="0" rIns="0" bIns="0">
                      <a:spAutoFit/>
                    </wps:bodyPr>
                  </wps:wsp>
                </a:graphicData>
              </a:graphic>
            </wp:anchor>
          </w:drawing>
        </mc:Choice>
        <mc:Fallback>
          <w:pict>
            <v:shape id="Shape 7" o:spid="_x0000_s1026" o:spt="202" type="#_x0000_t202" style="position:absolute;left:0pt;margin-top:0pt;height:8.3pt;width:17.65pt;mso-position-horizontal:center;mso-position-horizontal-relative:margin;mso-wrap-style:none;z-index:251659264;mso-width-relative:page;mso-height-relative:page;" filled="f" stroked="f" coordsize="21600,21600" o:gfxdata="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mH3tw0QAAAAMBAAAP&#10;AAAAAAAAAAEAIAAAACIAAABkcnMvZG93bnJldi54bWxQSwECFAAUAAAACACHTuJAKOQp060BAABv&#10;AwAADgAAAAAAAAABACAAAAAgAQAAZHJzL2Uyb0RvYy54bWxQSwUGAAAAAAYABgBZAQAAPwU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2"/>
                        <w:szCs w:val="22"/>
                        <w:lang w:val="en-US" w:eastAsia="en-US" w:bidi="en-US"/>
                      </w:rPr>
                      <w:t>#</w:t>
                    </w:r>
                    <w:r>
                      <w:rPr>
                        <w:rFonts w:ascii="Times New Roman" w:hAnsi="Times New Roman" w:eastAsia="Times New Roman" w:cs="Times New Roman"/>
                        <w:color w:val="000000"/>
                        <w:spacing w:val="0"/>
                        <w:w w:val="100"/>
                        <w:position w:val="0"/>
                        <w:sz w:val="22"/>
                        <w:szCs w:val="22"/>
                        <w:lang w:val="en-US" w:eastAsia="en-US" w:bidi="en-US"/>
                      </w:rPr>
                      <w:fldChar w:fldCharType="end"/>
                    </w:r>
                    <w:r>
                      <w:rPr>
                        <w:rFonts w:ascii="Times New Roman" w:hAnsi="Times New Roman" w:eastAsia="Times New Roman" w:cs="Times New Roman"/>
                        <w:color w:val="000000"/>
                        <w:spacing w:val="0"/>
                        <w:w w:val="100"/>
                        <w:position w:val="0"/>
                        <w:sz w:val="22"/>
                        <w:szCs w:val="22"/>
                        <w:lang w:val="zh-TW" w:eastAsia="zh-TW" w:bidi="zh-TW"/>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67919E5"/>
    <w:rsid w:val="06826B27"/>
    <w:rsid w:val="0B9252C5"/>
    <w:rsid w:val="0D080D28"/>
    <w:rsid w:val="180D7837"/>
    <w:rsid w:val="293A1482"/>
    <w:rsid w:val="2EA97B03"/>
    <w:rsid w:val="381A70AF"/>
    <w:rsid w:val="3EBC081F"/>
    <w:rsid w:val="521F127E"/>
    <w:rsid w:val="5A91726A"/>
    <w:rsid w:val="5E2E6E9A"/>
    <w:rsid w:val="666E438A"/>
    <w:rsid w:val="668429E0"/>
    <w:rsid w:val="66F86710"/>
    <w:rsid w:val="6DD0044A"/>
    <w:rsid w:val="71A42203"/>
    <w:rsid w:val="73FC9506"/>
    <w:rsid w:val="769B73E0"/>
    <w:rsid w:val="7D779CC6"/>
    <w:rsid w:val="7F4774EC"/>
    <w:rsid w:val="9FE5EC2D"/>
    <w:rsid w:val="B58E4B5D"/>
    <w:rsid w:val="BCF659F4"/>
    <w:rsid w:val="DBEDE91A"/>
    <w:rsid w:val="FF7A28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unhideWhenUsed/>
    <w:qFormat/>
    <w:uiPriority w:val="99"/>
    <w:pPr>
      <w:snapToGrid w:val="0"/>
    </w:pPr>
    <w:rPr>
      <w:sz w:val="18"/>
      <w:szCs w:val="18"/>
    </w:rPr>
  </w:style>
  <w:style w:type="character" w:customStyle="1" w:styleId="7">
    <w:name w:val="Body text|1_"/>
    <w:basedOn w:val="6"/>
    <w:link w:val="8"/>
    <w:qFormat/>
    <w:uiPriority w:val="0"/>
    <w:rPr>
      <w:rFonts w:ascii="宋体" w:hAnsi="宋体" w:eastAsia="宋体" w:cs="宋体"/>
      <w:sz w:val="30"/>
      <w:szCs w:val="30"/>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character" w:customStyle="1" w:styleId="9">
    <w:name w:val="Heading #1|1_"/>
    <w:basedOn w:val="6"/>
    <w:link w:val="10"/>
    <w:qFormat/>
    <w:uiPriority w:val="0"/>
    <w:rPr>
      <w:rFonts w:ascii="宋体" w:hAnsi="宋体" w:eastAsia="宋体" w:cs="宋体"/>
      <w:sz w:val="42"/>
      <w:szCs w:val="42"/>
      <w:u w:val="none"/>
      <w:shd w:val="clear" w:color="auto" w:fill="auto"/>
      <w:lang w:val="zh-TW" w:eastAsia="zh-TW" w:bidi="zh-TW"/>
    </w:rPr>
  </w:style>
  <w:style w:type="paragraph" w:customStyle="1" w:styleId="10">
    <w:name w:val="Heading #1|1"/>
    <w:basedOn w:val="1"/>
    <w:link w:val="9"/>
    <w:qFormat/>
    <w:uiPriority w:val="0"/>
    <w:pPr>
      <w:widowControl w:val="0"/>
      <w:shd w:val="clear" w:color="auto" w:fill="auto"/>
      <w:spacing w:before="1150" w:after="270"/>
      <w:ind w:firstLine="370"/>
      <w:outlineLvl w:val="0"/>
    </w:pPr>
    <w:rPr>
      <w:rFonts w:ascii="宋体" w:hAnsi="宋体" w:eastAsia="宋体" w:cs="宋体"/>
      <w:sz w:val="42"/>
      <w:szCs w:val="42"/>
      <w:u w:val="none"/>
      <w:shd w:val="clear" w:color="auto" w:fill="auto"/>
      <w:lang w:val="zh-TW" w:eastAsia="zh-TW" w:bidi="zh-TW"/>
    </w:rPr>
  </w:style>
  <w:style w:type="character" w:customStyle="1" w:styleId="11">
    <w:name w:val="Header or footer|2_"/>
    <w:basedOn w:val="6"/>
    <w:link w:val="12"/>
    <w:qFormat/>
    <w:uiPriority w:val="0"/>
    <w:rPr>
      <w:sz w:val="20"/>
      <w:szCs w:val="20"/>
      <w:u w:val="none"/>
      <w:shd w:val="clear" w:color="auto" w:fill="auto"/>
    </w:rPr>
  </w:style>
  <w:style w:type="paragraph" w:customStyle="1" w:styleId="12">
    <w:name w:val="Header or footer|2"/>
    <w:basedOn w:val="1"/>
    <w:link w:val="11"/>
    <w:qFormat/>
    <w:uiPriority w:val="0"/>
    <w:pPr>
      <w:widowControl w:val="0"/>
      <w:shd w:val="clear" w:color="auto" w:fill="auto"/>
    </w:pPr>
    <w:rPr>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2021-12-21T18:22:00Z</dcterms:created>
  <dc:creator>PaperScan Scanner Software Professional Edition 3.0.74</dc:creator>
  <cp:lastModifiedBy>锦水汤汤</cp:lastModifiedBy>
  <cp:lastPrinted>2021-12-28T10:35:00Z</cp:lastPrinted>
  <dcterms:modified xsi:type="dcterms:W3CDTF">2021-12-31T01:30:41Z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1266D9FB8E42482AADB1679BBAFBB91F</vt:lpwstr>
  </property>
</Properties>
</file>