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1120">
      <w:pPr>
        <w:spacing w:line="560" w:lineRule="exact"/>
        <w:jc w:val="left"/>
        <w:rPr>
          <w:rFonts w:eastAsia="黑体" w:hint="eastAsia"/>
        </w:rPr>
      </w:pPr>
      <w:r>
        <w:rPr>
          <w:rFonts w:ascii="黑体" w:eastAsia="黑体" w:hAnsi="黑体" w:cs="黑体" w:hint="eastAsia"/>
          <w:sz w:val="32"/>
          <w:szCs w:val="32"/>
        </w:rPr>
        <w:t>WHCR-202</w:t>
      </w:r>
      <w:r>
        <w:rPr>
          <w:rFonts w:ascii="黑体" w:eastAsia="黑体" w:hAnsi="黑体" w:cs="黑体" w:hint="eastAsia"/>
          <w:sz w:val="32"/>
          <w:szCs w:val="32"/>
        </w:rPr>
        <w:t>2</w:t>
      </w:r>
      <w:r>
        <w:rPr>
          <w:rFonts w:ascii="黑体" w:eastAsia="黑体" w:hAnsi="黑体" w:cs="黑体" w:hint="eastAsia"/>
          <w:sz w:val="32"/>
          <w:szCs w:val="32"/>
        </w:rPr>
        <w:t>-002000</w:t>
      </w:r>
      <w:r>
        <w:rPr>
          <w:rFonts w:ascii="黑体" w:eastAsia="黑体" w:hAnsi="黑体" w:cs="黑体" w:hint="eastAsia"/>
          <w:sz w:val="32"/>
          <w:szCs w:val="32"/>
        </w:rPr>
        <w:t>6</w:t>
      </w:r>
    </w:p>
    <w:p w:rsidR="00000000" w:rsidRPr="00FF3D54" w:rsidRDefault="00641120">
      <w:pPr>
        <w:pStyle w:val="a6"/>
        <w:spacing w:line="576" w:lineRule="exact"/>
        <w:jc w:val="center"/>
      </w:pPr>
    </w:p>
    <w:p w:rsidR="00000000" w:rsidRDefault="00641120">
      <w:pPr>
        <w:spacing w:line="576" w:lineRule="exact"/>
        <w:rPr>
          <w:rFonts w:eastAsia="仿宋_GB2312"/>
          <w:sz w:val="32"/>
          <w:szCs w:val="32"/>
        </w:rPr>
      </w:pPr>
      <w:r>
        <w:rPr>
          <w:rFonts w:eastAsia="仿宋_GB2312"/>
          <w:sz w:val="32"/>
          <w:szCs w:val="32"/>
        </w:rPr>
        <w:t>各区市人民政府，国家级开发区管委，</w:t>
      </w:r>
      <w:r>
        <w:rPr>
          <w:rFonts w:eastAsia="仿宋_GB2312" w:hint="eastAsia"/>
          <w:sz w:val="32"/>
          <w:szCs w:val="32"/>
        </w:rPr>
        <w:t>综保区管委，</w:t>
      </w:r>
      <w:r>
        <w:rPr>
          <w:rFonts w:eastAsia="仿宋_GB2312"/>
          <w:sz w:val="32"/>
          <w:szCs w:val="32"/>
        </w:rPr>
        <w:t>南海新区管委，市政府各部门、单位：</w:t>
      </w:r>
    </w:p>
    <w:p w:rsidR="00000000" w:rsidRDefault="00641120">
      <w:pPr>
        <w:widowControl/>
        <w:spacing w:line="576" w:lineRule="exact"/>
        <w:ind w:firstLineChars="200" w:firstLine="640"/>
        <w:jc w:val="left"/>
        <w:rPr>
          <w:rFonts w:eastAsia="仿宋_GB2312" w:cs="仿宋_GB2312" w:hint="eastAsia"/>
          <w:color w:val="000000"/>
          <w:sz w:val="32"/>
          <w:szCs w:val="32"/>
        </w:rPr>
      </w:pPr>
      <w:r>
        <w:rPr>
          <w:rFonts w:eastAsia="仿宋_GB2312"/>
          <w:sz w:val="32"/>
          <w:szCs w:val="32"/>
        </w:rPr>
        <w:t>《</w:t>
      </w:r>
      <w:r>
        <w:rPr>
          <w:rFonts w:eastAsia="仿宋_GB2312" w:hint="eastAsia"/>
          <w:sz w:val="32"/>
          <w:szCs w:val="32"/>
        </w:rPr>
        <w:t>威海市企业分级分类监管办法</w:t>
      </w:r>
      <w:r>
        <w:rPr>
          <w:rFonts w:eastAsia="仿宋_GB2312"/>
          <w:sz w:val="32"/>
          <w:szCs w:val="32"/>
        </w:rPr>
        <w:t>》</w:t>
      </w:r>
      <w:r>
        <w:rPr>
          <w:rFonts w:eastAsia="仿宋_GB2312" w:hint="eastAsia"/>
          <w:sz w:val="32"/>
          <w:szCs w:val="32"/>
        </w:rPr>
        <w:t>已经市政府同意，现</w:t>
      </w:r>
      <w:r>
        <w:rPr>
          <w:rFonts w:eastAsia="仿宋_GB2312"/>
          <w:sz w:val="32"/>
          <w:szCs w:val="32"/>
        </w:rPr>
        <w:t>印发给你们，请认真组织实施。</w:t>
      </w:r>
    </w:p>
    <w:p w:rsidR="00000000" w:rsidRDefault="00641120">
      <w:pPr>
        <w:spacing w:line="460" w:lineRule="exact"/>
        <w:rPr>
          <w:rFonts w:hint="eastAsia"/>
          <w:sz w:val="32"/>
          <w:szCs w:val="32"/>
        </w:rPr>
      </w:pPr>
    </w:p>
    <w:p w:rsidR="00000000" w:rsidRDefault="00641120">
      <w:pPr>
        <w:pStyle w:val="2"/>
        <w:spacing w:line="460" w:lineRule="exact"/>
        <w:ind w:firstLine="0"/>
        <w:rPr>
          <w:rFonts w:hint="eastAsia"/>
        </w:rPr>
      </w:pPr>
    </w:p>
    <w:p w:rsidR="00000000" w:rsidRDefault="00641120">
      <w:pPr>
        <w:widowControl/>
        <w:wordWrap w:val="0"/>
        <w:spacing w:line="576" w:lineRule="exact"/>
        <w:jc w:val="right"/>
        <w:rPr>
          <w:rFonts w:eastAsia="仿宋_GB2312"/>
          <w:kern w:val="0"/>
          <w:sz w:val="32"/>
          <w:szCs w:val="32"/>
        </w:rPr>
      </w:pPr>
      <w:r>
        <w:rPr>
          <w:rFonts w:eastAsia="仿宋_GB2312"/>
          <w:kern w:val="0"/>
          <w:sz w:val="32"/>
          <w:szCs w:val="32"/>
        </w:rPr>
        <w:t>威海市人民政府</w:t>
      </w:r>
      <w:r>
        <w:rPr>
          <w:rFonts w:eastAsia="仿宋_GB2312" w:hint="eastAsia"/>
          <w:kern w:val="0"/>
          <w:sz w:val="32"/>
          <w:szCs w:val="32"/>
        </w:rPr>
        <w:t>办公室</w:t>
      </w:r>
      <w:r>
        <w:rPr>
          <w:rFonts w:eastAsia="仿宋_GB2312" w:hint="eastAsia"/>
          <w:kern w:val="0"/>
          <w:sz w:val="32"/>
          <w:szCs w:val="32"/>
        </w:rPr>
        <w:t xml:space="preserve">   </w:t>
      </w:r>
      <w:r>
        <w:rPr>
          <w:rFonts w:eastAsia="仿宋_GB2312" w:hint="eastAsia"/>
          <w:kern w:val="0"/>
          <w:sz w:val="32"/>
          <w:szCs w:val="32"/>
        </w:rPr>
        <w:t xml:space="preserve"> </w:t>
      </w:r>
      <w:r>
        <w:rPr>
          <w:rFonts w:eastAsia="仿宋_GB2312" w:hint="eastAsia"/>
          <w:kern w:val="0"/>
          <w:sz w:val="32"/>
          <w:szCs w:val="32"/>
        </w:rPr>
        <w:t xml:space="preserve">  </w:t>
      </w:r>
    </w:p>
    <w:p w:rsidR="00000000" w:rsidRDefault="00641120">
      <w:pPr>
        <w:widowControl/>
        <w:wordWrap w:val="0"/>
        <w:spacing w:line="576" w:lineRule="exact"/>
        <w:jc w:val="right"/>
        <w:rPr>
          <w:rFonts w:eastAsia="仿宋_GB2312"/>
          <w:kern w:val="0"/>
          <w:sz w:val="32"/>
          <w:szCs w:val="32"/>
        </w:rPr>
      </w:pP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w:t>
      </w:r>
      <w:r>
        <w:rPr>
          <w:rFonts w:eastAsia="仿宋_GB2312" w:hint="eastAsia"/>
          <w:kern w:val="0"/>
          <w:sz w:val="32"/>
          <w:szCs w:val="32"/>
        </w:rPr>
        <w:t>8</w:t>
      </w:r>
      <w:r>
        <w:rPr>
          <w:rFonts w:eastAsia="仿宋_GB2312"/>
          <w:kern w:val="0"/>
          <w:sz w:val="32"/>
          <w:szCs w:val="32"/>
        </w:rPr>
        <w:t>月</w:t>
      </w:r>
      <w:r>
        <w:rPr>
          <w:rFonts w:eastAsia="仿宋_GB2312" w:hint="eastAsia"/>
          <w:kern w:val="0"/>
          <w:sz w:val="32"/>
          <w:szCs w:val="32"/>
        </w:rPr>
        <w:t>30</w:t>
      </w:r>
      <w:r>
        <w:rPr>
          <w:rFonts w:eastAsia="仿宋_GB2312"/>
          <w:kern w:val="0"/>
          <w:sz w:val="32"/>
          <w:szCs w:val="32"/>
        </w:rPr>
        <w:t>日</w:t>
      </w:r>
      <w:r>
        <w:rPr>
          <w:rFonts w:eastAsia="仿宋_GB2312" w:hint="eastAsia"/>
          <w:kern w:val="0"/>
          <w:sz w:val="32"/>
          <w:szCs w:val="32"/>
        </w:rPr>
        <w:t xml:space="preserve">        </w:t>
      </w:r>
    </w:p>
    <w:p w:rsidR="00000000" w:rsidRDefault="00641120">
      <w:pPr>
        <w:widowControl/>
        <w:spacing w:line="576" w:lineRule="exact"/>
        <w:ind w:firstLineChars="200" w:firstLine="640"/>
        <w:jc w:val="left"/>
        <w:rPr>
          <w:rFonts w:ascii="仿宋_GB2312" w:eastAsia="仿宋_GB2312" w:hAnsi="Calibri" w:cs="仿宋_GB2312" w:hint="eastAsia"/>
          <w:kern w:val="0"/>
          <w:sz w:val="32"/>
          <w:szCs w:val="32"/>
        </w:rPr>
      </w:pPr>
      <w:r>
        <w:rPr>
          <w:rFonts w:ascii="仿宋_GB2312" w:eastAsia="仿宋_GB2312" w:hAnsi="Calibri" w:cs="仿宋_GB2312" w:hint="eastAsia"/>
          <w:kern w:val="0"/>
          <w:sz w:val="32"/>
          <w:szCs w:val="32"/>
        </w:rPr>
        <w:t>（此件公开发布）</w:t>
      </w:r>
    </w:p>
    <w:p w:rsidR="00000000" w:rsidRDefault="00641120">
      <w:pPr>
        <w:spacing w:line="576" w:lineRule="exact"/>
        <w:jc w:val="center"/>
        <w:rPr>
          <w:rFonts w:eastAsia="方正小标宋简体" w:cs="方正小标宋简体" w:hint="eastAsia"/>
          <w:sz w:val="44"/>
          <w:szCs w:val="44"/>
        </w:rPr>
      </w:pPr>
      <w:r>
        <w:rPr>
          <w:rFonts w:eastAsia="方正小标宋简体" w:cs="方正小标宋简体" w:hint="eastAsia"/>
          <w:sz w:val="44"/>
          <w:szCs w:val="44"/>
        </w:rPr>
        <w:t>威海市</w:t>
      </w:r>
      <w:r>
        <w:rPr>
          <w:rFonts w:eastAsia="方正小标宋简体" w:cs="方正小标宋简体" w:hint="eastAsia"/>
          <w:sz w:val="44"/>
          <w:szCs w:val="44"/>
        </w:rPr>
        <w:t>企业</w:t>
      </w:r>
      <w:r>
        <w:rPr>
          <w:rFonts w:eastAsia="方正小标宋简体" w:cs="方正小标宋简体" w:hint="eastAsia"/>
          <w:sz w:val="44"/>
          <w:szCs w:val="44"/>
        </w:rPr>
        <w:t>分级分类</w:t>
      </w:r>
      <w:r>
        <w:rPr>
          <w:rFonts w:eastAsia="方正小标宋简体" w:cs="方正小标宋简体" w:hint="eastAsia"/>
          <w:sz w:val="44"/>
          <w:szCs w:val="44"/>
        </w:rPr>
        <w:t>监管</w:t>
      </w:r>
      <w:r>
        <w:rPr>
          <w:rFonts w:eastAsia="方正小标宋简体" w:cs="方正小标宋简体" w:hint="eastAsia"/>
          <w:sz w:val="44"/>
          <w:szCs w:val="44"/>
        </w:rPr>
        <w:t>办法</w:t>
      </w:r>
    </w:p>
    <w:p w:rsidR="00000000" w:rsidRDefault="00641120">
      <w:pPr>
        <w:spacing w:line="576" w:lineRule="exact"/>
        <w:jc w:val="center"/>
        <w:rPr>
          <w:rFonts w:eastAsia="仿宋_GB2312" w:cs="仿宋_GB2312" w:hint="eastAsia"/>
          <w:sz w:val="32"/>
          <w:szCs w:val="32"/>
        </w:rPr>
      </w:pPr>
    </w:p>
    <w:p w:rsidR="00000000" w:rsidRDefault="00641120">
      <w:pPr>
        <w:spacing w:line="576" w:lineRule="exact"/>
        <w:ind w:firstLineChars="200" w:firstLine="640"/>
        <w:rPr>
          <w:rFonts w:eastAsia="仿宋_GB2312" w:cs="仿宋_GB2312" w:hint="eastAsia"/>
          <w:b/>
          <w:bCs/>
          <w:sz w:val="32"/>
          <w:szCs w:val="32"/>
        </w:rPr>
      </w:pPr>
      <w:r>
        <w:rPr>
          <w:rFonts w:ascii="黑体" w:eastAsia="黑体" w:hAnsi="黑体" w:cs="黑体" w:hint="eastAsia"/>
          <w:sz w:val="32"/>
          <w:szCs w:val="32"/>
        </w:rPr>
        <w:t>第一条</w:t>
      </w:r>
      <w:r>
        <w:rPr>
          <w:rFonts w:eastAsia="仿宋_GB2312" w:cs="仿宋_GB2312" w:hint="eastAsia"/>
          <w:sz w:val="32"/>
          <w:szCs w:val="32"/>
        </w:rPr>
        <w:t xml:space="preserve">  </w:t>
      </w:r>
      <w:r>
        <w:rPr>
          <w:rFonts w:eastAsia="仿宋_GB2312" w:cs="仿宋_GB2312" w:hint="eastAsia"/>
          <w:sz w:val="32"/>
          <w:szCs w:val="32"/>
        </w:rPr>
        <w:t>为</w:t>
      </w:r>
      <w:r>
        <w:rPr>
          <w:rFonts w:eastAsia="仿宋_GB2312" w:cs="仿宋_GB2312" w:hint="eastAsia"/>
          <w:sz w:val="32"/>
          <w:szCs w:val="32"/>
        </w:rPr>
        <w:t>提升涉企行政检查的科学性、精准性和有效性，进一步</w:t>
      </w:r>
      <w:r>
        <w:rPr>
          <w:rFonts w:eastAsia="仿宋_GB2312" w:cs="仿宋_GB2312" w:hint="eastAsia"/>
          <w:sz w:val="32"/>
          <w:szCs w:val="32"/>
        </w:rPr>
        <w:t>优化法治化营商环境</w:t>
      </w:r>
      <w:r>
        <w:rPr>
          <w:rFonts w:eastAsia="仿宋_GB2312" w:cs="仿宋_GB2312" w:hint="eastAsia"/>
          <w:sz w:val="32"/>
          <w:szCs w:val="32"/>
        </w:rPr>
        <w:t>，</w:t>
      </w:r>
      <w:r>
        <w:rPr>
          <w:rFonts w:eastAsia="仿宋_GB2312" w:cs="仿宋_GB2312" w:hint="eastAsia"/>
          <w:sz w:val="32"/>
          <w:szCs w:val="32"/>
        </w:rPr>
        <w:t>根据</w:t>
      </w:r>
      <w:r>
        <w:rPr>
          <w:rFonts w:eastAsia="仿宋_GB2312" w:cs="仿宋_GB2312" w:hint="eastAsia"/>
          <w:sz w:val="32"/>
          <w:szCs w:val="32"/>
        </w:rPr>
        <w:t>《优化营商环境条例》和国家、省、市有关规定，</w:t>
      </w:r>
      <w:r>
        <w:rPr>
          <w:rFonts w:eastAsia="仿宋_GB2312" w:cs="仿宋_GB2312" w:hint="eastAsia"/>
          <w:sz w:val="32"/>
          <w:szCs w:val="32"/>
        </w:rPr>
        <w:t>结合</w:t>
      </w:r>
      <w:r>
        <w:rPr>
          <w:rFonts w:eastAsia="仿宋_GB2312" w:cs="仿宋_GB2312" w:hint="eastAsia"/>
          <w:sz w:val="32"/>
          <w:szCs w:val="32"/>
        </w:rPr>
        <w:t>本</w:t>
      </w:r>
      <w:r>
        <w:rPr>
          <w:rFonts w:eastAsia="仿宋_GB2312" w:cs="仿宋_GB2312" w:hint="eastAsia"/>
          <w:sz w:val="32"/>
          <w:szCs w:val="32"/>
        </w:rPr>
        <w:t>市实际，制定本办法。</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第二条</w:t>
      </w:r>
      <w:r>
        <w:rPr>
          <w:rFonts w:eastAsia="仿宋_GB2312" w:cs="仿宋_GB2312" w:hint="eastAsia"/>
          <w:b/>
          <w:bCs/>
          <w:sz w:val="32"/>
          <w:szCs w:val="32"/>
        </w:rPr>
        <w:t xml:space="preserve">  </w:t>
      </w:r>
      <w:r>
        <w:rPr>
          <w:rFonts w:eastAsia="仿宋_GB2312" w:cs="仿宋_GB2312" w:hint="eastAsia"/>
          <w:sz w:val="32"/>
          <w:szCs w:val="32"/>
        </w:rPr>
        <w:t>本市行政区域内</w:t>
      </w:r>
      <w:r>
        <w:rPr>
          <w:rFonts w:eastAsia="仿宋_GB2312" w:cs="仿宋_GB2312" w:hint="eastAsia"/>
          <w:sz w:val="32"/>
          <w:szCs w:val="32"/>
        </w:rPr>
        <w:t>对企业进行分级分类监管，</w:t>
      </w:r>
      <w:r>
        <w:rPr>
          <w:rFonts w:eastAsia="仿宋_GB2312" w:cs="仿宋_GB2312" w:hint="eastAsia"/>
          <w:sz w:val="32"/>
          <w:szCs w:val="32"/>
        </w:rPr>
        <w:t>适用本办法。</w:t>
      </w:r>
      <w:r>
        <w:rPr>
          <w:rFonts w:eastAsia="仿宋_GB2312" w:cs="仿宋_GB2312" w:hint="eastAsia"/>
          <w:sz w:val="32"/>
          <w:szCs w:val="32"/>
        </w:rPr>
        <w:t>国家和省另有规定的，从其规定。</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第三条</w:t>
      </w:r>
      <w:r>
        <w:rPr>
          <w:rFonts w:ascii="黑体" w:eastAsia="黑体" w:hAnsi="黑体" w:cs="黑体"/>
          <w:sz w:val="32"/>
          <w:szCs w:val="32"/>
          <w:lang/>
        </w:rPr>
        <w:t xml:space="preserve"> </w:t>
      </w:r>
      <w:r>
        <w:rPr>
          <w:rFonts w:ascii="黑体" w:eastAsia="黑体" w:hAnsi="黑体" w:cs="黑体" w:hint="eastAsia"/>
          <w:sz w:val="32"/>
          <w:szCs w:val="32"/>
        </w:rPr>
        <w:t xml:space="preserve"> </w:t>
      </w:r>
      <w:r>
        <w:rPr>
          <w:rFonts w:eastAsia="仿宋_GB2312" w:cs="仿宋_GB2312" w:hint="eastAsia"/>
          <w:sz w:val="32"/>
          <w:szCs w:val="32"/>
        </w:rPr>
        <w:t>本办法所称</w:t>
      </w:r>
      <w:r>
        <w:rPr>
          <w:rFonts w:eastAsia="仿宋_GB2312" w:cs="仿宋_GB2312" w:hint="eastAsia"/>
          <w:sz w:val="32"/>
          <w:szCs w:val="32"/>
        </w:rPr>
        <w:t>企业，是指依法在我市登记注册或实际经营的各类法人企业、非法人企业及其分支机构、农民专业合作社和个体工商户。</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t>本办法所称</w:t>
      </w:r>
      <w:r>
        <w:rPr>
          <w:rFonts w:eastAsia="仿宋_GB2312" w:cs="仿宋_GB2312" w:hint="eastAsia"/>
          <w:sz w:val="32"/>
          <w:szCs w:val="32"/>
        </w:rPr>
        <w:t>企业分级分类监管（以下简称“分级分类监管”），</w:t>
      </w:r>
      <w:r>
        <w:rPr>
          <w:rFonts w:eastAsia="仿宋_GB2312" w:cs="仿宋_GB2312" w:hint="eastAsia"/>
          <w:sz w:val="32"/>
          <w:szCs w:val="32"/>
        </w:rPr>
        <w:lastRenderedPageBreak/>
        <w:t>是指行政执法机关（含法律法规授权的具有管理公共事务职能的组织，下同）对企业开展行政检查时，根据</w:t>
      </w:r>
      <w:r>
        <w:rPr>
          <w:rFonts w:eastAsia="仿宋_GB2312" w:cs="仿宋_GB2312" w:hint="eastAsia"/>
          <w:sz w:val="32"/>
          <w:szCs w:val="32"/>
        </w:rPr>
        <w:t>山东省企业信用风险通用指标体系</w:t>
      </w:r>
      <w:r>
        <w:rPr>
          <w:rFonts w:eastAsia="仿宋_GB2312" w:cs="仿宋_GB2312" w:hint="eastAsia"/>
          <w:sz w:val="32"/>
          <w:szCs w:val="32"/>
        </w:rPr>
        <w:t>中分级分类结果或</w:t>
      </w:r>
      <w:r>
        <w:rPr>
          <w:rFonts w:eastAsia="仿宋_GB2312" w:cs="仿宋_GB2312" w:hint="eastAsia"/>
          <w:sz w:val="32"/>
          <w:szCs w:val="32"/>
        </w:rPr>
        <w:t>部门领域内专业型风险分级分类结果，对不同信用风险级别和类别的企业，开展差异化监管的执法行为。</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eastAsia="仿宋_GB2312" w:cs="仿宋_GB2312" w:hint="eastAsia"/>
          <w:sz w:val="32"/>
          <w:szCs w:val="32"/>
        </w:rPr>
        <w:t>分级分类监管应当遵循依法、精准、高效的原则。</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eastAsia="仿宋_GB2312" w:cs="仿宋_GB2312" w:hint="eastAsia"/>
          <w:sz w:val="32"/>
          <w:szCs w:val="32"/>
        </w:rPr>
        <w:t>市、区（县级市）</w:t>
      </w:r>
      <w:r>
        <w:rPr>
          <w:rFonts w:eastAsia="仿宋_GB2312" w:cs="仿宋_GB2312" w:hint="eastAsia"/>
          <w:sz w:val="32"/>
          <w:szCs w:val="32"/>
        </w:rPr>
        <w:t>司法行政机关负责本级分级分类监管的监督管理和指导工作。</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t>市场监管部门负责建设维护</w:t>
      </w:r>
      <w:r>
        <w:rPr>
          <w:rFonts w:eastAsia="仿宋_GB2312" w:cs="仿宋_GB2312" w:hint="eastAsia"/>
          <w:sz w:val="32"/>
          <w:szCs w:val="32"/>
        </w:rPr>
        <w:t>通用型企业信用风险分级分类</w:t>
      </w:r>
      <w:r>
        <w:rPr>
          <w:rFonts w:eastAsia="仿宋_GB2312" w:cs="仿宋_GB2312" w:hint="eastAsia"/>
          <w:sz w:val="32"/>
          <w:szCs w:val="32"/>
        </w:rPr>
        <w:t>信息系统，分析监管数据，对企业进行分级分类以及组织实施本系统分级分类监管工作，牵头推进部门间联合分级分类监管工作。</w:t>
      </w:r>
    </w:p>
    <w:p w:rsidR="00000000" w:rsidRDefault="00641120">
      <w:pPr>
        <w:spacing w:line="576" w:lineRule="exact"/>
        <w:ind w:firstLineChars="200" w:firstLine="640"/>
        <w:rPr>
          <w:rFonts w:eastAsia="仿宋_GB2312" w:cs="仿宋_GB2312" w:hint="eastAsia"/>
          <w:b/>
          <w:bCs/>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eastAsia="仿宋_GB2312" w:cs="仿宋_GB2312" w:hint="eastAsia"/>
          <w:sz w:val="32"/>
          <w:szCs w:val="32"/>
        </w:rPr>
        <w:t>除另有规定外，行政执法机关应当根据通用型企业信用风险分级分类</w:t>
      </w:r>
      <w:r>
        <w:rPr>
          <w:rFonts w:eastAsia="仿宋_GB2312" w:cs="仿宋_GB2312" w:hint="eastAsia"/>
          <w:sz w:val="32"/>
          <w:szCs w:val="32"/>
        </w:rPr>
        <w:t>结果或</w:t>
      </w:r>
      <w:r>
        <w:rPr>
          <w:rFonts w:eastAsia="仿宋_GB2312" w:cs="仿宋_GB2312" w:hint="eastAsia"/>
          <w:sz w:val="32"/>
          <w:szCs w:val="32"/>
        </w:rPr>
        <w:t>部门领域内专业型风险分级分类结果对企业</w:t>
      </w:r>
      <w:r>
        <w:rPr>
          <w:rFonts w:eastAsia="仿宋_GB2312" w:cs="仿宋_GB2312" w:hint="eastAsia"/>
          <w:sz w:val="32"/>
          <w:szCs w:val="32"/>
        </w:rPr>
        <w:t>开展行政检查。</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t>食品、药品、特种设备、卫生健康、生态环境、自然资源、安全生产等直接关系人民群众生命财产安全、公共安全的领域，以及潜在风险大、社会风险高的重点领域，应当参照</w:t>
      </w:r>
      <w:r>
        <w:rPr>
          <w:rFonts w:eastAsia="仿宋_GB2312" w:cs="仿宋_GB2312" w:hint="eastAsia"/>
          <w:sz w:val="32"/>
          <w:szCs w:val="32"/>
        </w:rPr>
        <w:t>通用型企业信用风险分级分类结果</w:t>
      </w:r>
      <w:r>
        <w:rPr>
          <w:rFonts w:eastAsia="仿宋_GB2312" w:cs="仿宋_GB2312" w:hint="eastAsia"/>
          <w:sz w:val="32"/>
          <w:szCs w:val="32"/>
        </w:rPr>
        <w:t>，构建</w:t>
      </w:r>
      <w:r>
        <w:rPr>
          <w:rFonts w:eastAsia="仿宋_GB2312" w:cs="仿宋_GB2312" w:hint="eastAsia"/>
          <w:sz w:val="32"/>
          <w:szCs w:val="32"/>
        </w:rPr>
        <w:t>部门领域内专业型风险分级分类标准和制度，自行确定监管频次和监管方式。</w:t>
      </w:r>
      <w:r>
        <w:rPr>
          <w:rFonts w:eastAsia="仿宋_GB2312" w:cs="仿宋_GB2312" w:hint="eastAsia"/>
          <w:sz w:val="32"/>
          <w:szCs w:val="32"/>
        </w:rPr>
        <w:t>其他执法领域，可以直接使用通用型企业信用风险分级分类结果或者参考通用型企业信用风险分级分类管理模式，构建</w:t>
      </w:r>
      <w:r>
        <w:rPr>
          <w:rFonts w:eastAsia="仿宋_GB2312" w:cs="仿宋_GB2312" w:hint="eastAsia"/>
          <w:sz w:val="32"/>
          <w:szCs w:val="32"/>
        </w:rPr>
        <w:t>部门领域内专业型风险分级</w:t>
      </w:r>
      <w:r>
        <w:rPr>
          <w:rFonts w:eastAsia="仿宋_GB2312" w:cs="仿宋_GB2312" w:hint="eastAsia"/>
          <w:sz w:val="32"/>
          <w:szCs w:val="32"/>
        </w:rPr>
        <w:lastRenderedPageBreak/>
        <w:t>分类标准和制度</w:t>
      </w:r>
      <w:r>
        <w:rPr>
          <w:rFonts w:eastAsia="仿宋_GB2312" w:cs="仿宋_GB2312" w:hint="eastAsia"/>
          <w:sz w:val="32"/>
          <w:szCs w:val="32"/>
        </w:rPr>
        <w:t>。</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t>行政执法机关制定的专业型风险分级分类标准和制度应当报同级司法行政机关备案。</w:t>
      </w:r>
    </w:p>
    <w:p w:rsidR="00000000" w:rsidRDefault="00641120">
      <w:pPr>
        <w:pStyle w:val="Bodytext1"/>
        <w:spacing w:line="576" w:lineRule="exact"/>
        <w:ind w:firstLine="620"/>
        <w:rPr>
          <w:rFonts w:ascii="Times New Roman" w:eastAsia="仿宋_GB2312" w:hAnsi="Times New Roman" w:cs="仿宋_GB2312" w:hint="eastAsia"/>
          <w:sz w:val="32"/>
          <w:szCs w:val="32"/>
          <w:lang w:val="en-US" w:eastAsia="zh-CN"/>
        </w:rPr>
      </w:pPr>
      <w:r>
        <w:rPr>
          <w:rFonts w:ascii="黑体" w:eastAsia="黑体" w:hAnsi="黑体" w:cs="黑体" w:hint="eastAsia"/>
          <w:sz w:val="32"/>
          <w:szCs w:val="32"/>
          <w:lang w:val="en-US" w:eastAsia="zh-CN" w:bidi="ar-SA"/>
        </w:rPr>
        <w:t>第七条</w:t>
      </w:r>
      <w:r>
        <w:rPr>
          <w:rFonts w:ascii="黑体" w:eastAsia="黑体" w:hAnsi="黑体" w:cs="黑体"/>
          <w:sz w:val="32"/>
          <w:szCs w:val="32"/>
          <w:lang w:eastAsia="zh-CN" w:bidi="ar-SA"/>
        </w:rPr>
        <w:t xml:space="preserve"> </w:t>
      </w:r>
      <w:r>
        <w:rPr>
          <w:rFonts w:ascii="黑体" w:eastAsia="黑体" w:hAnsi="黑体" w:cs="黑体" w:hint="eastAsia"/>
          <w:sz w:val="32"/>
          <w:szCs w:val="32"/>
          <w:lang w:val="en-US" w:eastAsia="zh-CN" w:bidi="ar-SA"/>
        </w:rPr>
        <w:t xml:space="preserve"> </w:t>
      </w:r>
      <w:r>
        <w:rPr>
          <w:rFonts w:ascii="Times New Roman" w:eastAsia="仿宋_GB2312" w:hAnsi="Times New Roman" w:cs="仿宋_GB2312" w:hint="eastAsia"/>
          <w:sz w:val="32"/>
          <w:szCs w:val="32"/>
          <w:lang w:val="en-US" w:eastAsia="zh-CN"/>
        </w:rPr>
        <w:t>通用型</w:t>
      </w:r>
      <w:r>
        <w:rPr>
          <w:rFonts w:ascii="Times New Roman" w:eastAsia="仿宋_GB2312" w:hAnsi="Times New Roman" w:cs="仿宋_GB2312" w:hint="eastAsia"/>
          <w:sz w:val="32"/>
          <w:szCs w:val="32"/>
          <w:lang w:val="en-US" w:eastAsia="zh-CN"/>
        </w:rPr>
        <w:t>企业的信用风险分级分类按以下标准划分：</w:t>
      </w:r>
    </w:p>
    <w:p w:rsidR="00000000" w:rsidRDefault="00641120">
      <w:pPr>
        <w:pStyle w:val="Bodytext1"/>
        <w:numPr>
          <w:ilvl w:val="0"/>
          <w:numId w:val="2"/>
        </w:numPr>
        <w:spacing w:line="576" w:lineRule="exact"/>
        <w:ind w:firstLine="62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信用风险低的为</w:t>
      </w:r>
      <w:r>
        <w:rPr>
          <w:rFonts w:ascii="Times New Roman" w:eastAsia="仿宋_GB2312" w:hAnsi="Times New Roman" w:cs="仿宋_GB2312" w:hint="eastAsia"/>
          <w:sz w:val="32"/>
          <w:szCs w:val="32"/>
          <w:lang w:val="en-US" w:eastAsia="zh-CN"/>
        </w:rPr>
        <w:t>A</w:t>
      </w:r>
      <w:r>
        <w:rPr>
          <w:rFonts w:ascii="Times New Roman" w:eastAsia="仿宋_GB2312" w:hAnsi="Times New Roman" w:cs="仿宋_GB2312" w:hint="eastAsia"/>
          <w:sz w:val="32"/>
          <w:szCs w:val="32"/>
          <w:lang w:val="en-US" w:eastAsia="zh-CN"/>
        </w:rPr>
        <w:t>类；</w:t>
      </w:r>
    </w:p>
    <w:p w:rsidR="00000000" w:rsidRDefault="00641120">
      <w:pPr>
        <w:pStyle w:val="Bodytext1"/>
        <w:numPr>
          <w:ilvl w:val="0"/>
          <w:numId w:val="2"/>
        </w:numPr>
        <w:spacing w:line="576" w:lineRule="exact"/>
        <w:ind w:firstLine="62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信用风险一般的为</w:t>
      </w:r>
      <w:r>
        <w:rPr>
          <w:rFonts w:ascii="Times New Roman" w:eastAsia="仿宋_GB2312" w:hAnsi="Times New Roman" w:cs="仿宋_GB2312" w:hint="eastAsia"/>
          <w:sz w:val="32"/>
          <w:szCs w:val="32"/>
          <w:lang w:val="en-US" w:eastAsia="zh-CN"/>
        </w:rPr>
        <w:t>B</w:t>
      </w:r>
      <w:r>
        <w:rPr>
          <w:rFonts w:ascii="Times New Roman" w:eastAsia="仿宋_GB2312" w:hAnsi="Times New Roman" w:cs="仿宋_GB2312" w:hint="eastAsia"/>
          <w:sz w:val="32"/>
          <w:szCs w:val="32"/>
          <w:lang w:val="en-US" w:eastAsia="zh-CN"/>
        </w:rPr>
        <w:t>类；</w:t>
      </w:r>
    </w:p>
    <w:p w:rsidR="00000000" w:rsidRDefault="00641120">
      <w:pPr>
        <w:pStyle w:val="Bodytext1"/>
        <w:numPr>
          <w:ilvl w:val="0"/>
          <w:numId w:val="2"/>
        </w:numPr>
        <w:spacing w:line="576" w:lineRule="exact"/>
        <w:ind w:firstLine="62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信用风险较高的为</w:t>
      </w:r>
      <w:r>
        <w:rPr>
          <w:rFonts w:ascii="Times New Roman" w:eastAsia="仿宋_GB2312" w:hAnsi="Times New Roman" w:cs="仿宋_GB2312" w:hint="eastAsia"/>
          <w:sz w:val="32"/>
          <w:szCs w:val="32"/>
          <w:lang w:val="en-US" w:eastAsia="zh-CN"/>
        </w:rPr>
        <w:t>C</w:t>
      </w:r>
      <w:r>
        <w:rPr>
          <w:rFonts w:ascii="Times New Roman" w:eastAsia="仿宋_GB2312" w:hAnsi="Times New Roman" w:cs="仿宋_GB2312" w:hint="eastAsia"/>
          <w:sz w:val="32"/>
          <w:szCs w:val="32"/>
          <w:lang w:val="en-US" w:eastAsia="zh-CN"/>
        </w:rPr>
        <w:t>类；</w:t>
      </w:r>
    </w:p>
    <w:p w:rsidR="00000000" w:rsidRDefault="00641120">
      <w:pPr>
        <w:pStyle w:val="Bodytext1"/>
        <w:numPr>
          <w:ilvl w:val="0"/>
          <w:numId w:val="2"/>
        </w:numPr>
        <w:spacing w:line="576" w:lineRule="exact"/>
        <w:ind w:firstLine="62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信用风险高的为</w:t>
      </w:r>
      <w:r>
        <w:rPr>
          <w:rFonts w:ascii="Times New Roman" w:eastAsia="仿宋_GB2312" w:hAnsi="Times New Roman" w:cs="仿宋_GB2312" w:hint="eastAsia"/>
          <w:sz w:val="32"/>
          <w:szCs w:val="32"/>
          <w:lang w:val="en-US" w:eastAsia="zh-CN"/>
        </w:rPr>
        <w:t>D</w:t>
      </w:r>
      <w:r>
        <w:rPr>
          <w:rFonts w:ascii="Times New Roman" w:eastAsia="仿宋_GB2312" w:hAnsi="Times New Roman" w:cs="仿宋_GB2312" w:hint="eastAsia"/>
          <w:sz w:val="32"/>
          <w:szCs w:val="32"/>
          <w:lang w:val="en-US" w:eastAsia="zh-CN"/>
        </w:rPr>
        <w:t>类。</w:t>
      </w:r>
    </w:p>
    <w:p w:rsidR="00000000" w:rsidRDefault="00641120">
      <w:pPr>
        <w:pStyle w:val="Bodytext1"/>
        <w:tabs>
          <w:tab w:val="left" w:pos="1621"/>
        </w:tabs>
        <w:spacing w:line="576" w:lineRule="exact"/>
        <w:ind w:firstLineChars="200" w:firstLine="640"/>
        <w:rPr>
          <w:rFonts w:ascii="Times New Roman" w:eastAsia="仿宋_GB2312" w:hAnsi="Times New Roman" w:cs="仿宋_GB2312" w:hint="eastAsia"/>
          <w:sz w:val="32"/>
          <w:szCs w:val="32"/>
          <w:lang w:val="en-US" w:eastAsia="zh-CN"/>
        </w:rPr>
      </w:pPr>
      <w:r>
        <w:rPr>
          <w:rFonts w:ascii="黑体" w:eastAsia="黑体" w:hAnsi="黑体" w:cs="黑体" w:hint="eastAsia"/>
          <w:sz w:val="32"/>
          <w:szCs w:val="32"/>
          <w:lang w:val="en-US" w:eastAsia="zh-CN" w:bidi="ar-SA"/>
        </w:rPr>
        <w:t>第八条</w:t>
      </w:r>
      <w:r>
        <w:rPr>
          <w:rFonts w:ascii="黑体" w:eastAsia="黑体" w:hAnsi="黑体" w:cs="黑体" w:hint="eastAsia"/>
          <w:sz w:val="32"/>
          <w:szCs w:val="32"/>
          <w:lang w:val="en-US" w:eastAsia="zh-CN" w:bidi="ar-SA"/>
        </w:rPr>
        <w:t xml:space="preserve"> </w:t>
      </w:r>
      <w:r>
        <w:rPr>
          <w:rFonts w:ascii="黑体" w:eastAsia="黑体" w:hAnsi="黑体" w:cs="黑体"/>
          <w:sz w:val="32"/>
          <w:szCs w:val="32"/>
          <w:lang w:eastAsia="zh-CN" w:bidi="ar-SA"/>
        </w:rPr>
        <w:t xml:space="preserve"> </w:t>
      </w:r>
      <w:r>
        <w:rPr>
          <w:rFonts w:ascii="Times New Roman" w:eastAsia="仿宋_GB2312" w:hAnsi="Times New Roman" w:cs="仿宋_GB2312" w:hint="eastAsia"/>
          <w:sz w:val="32"/>
          <w:szCs w:val="32"/>
          <w:lang w:eastAsia="zh-CN"/>
        </w:rPr>
        <w:t>对</w:t>
      </w:r>
      <w:r>
        <w:rPr>
          <w:rFonts w:ascii="Times New Roman" w:eastAsia="仿宋_GB2312" w:hAnsi="Times New Roman" w:cs="仿宋_GB2312" w:hint="eastAsia"/>
          <w:sz w:val="32"/>
          <w:szCs w:val="32"/>
          <w:lang w:val="en-US" w:eastAsia="zh-CN"/>
        </w:rPr>
        <w:t>通用型企业的检查频次按下列要求确定：</w:t>
      </w:r>
    </w:p>
    <w:p w:rsidR="00000000" w:rsidRDefault="00641120">
      <w:pPr>
        <w:pStyle w:val="Bodytext1"/>
        <w:tabs>
          <w:tab w:val="left" w:pos="1621"/>
        </w:tabs>
        <w:spacing w:line="576" w:lineRule="exact"/>
        <w:ind w:firstLineChars="200" w:firstLine="64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（一）</w:t>
      </w:r>
      <w:r>
        <w:rPr>
          <w:rFonts w:ascii="Times New Roman" w:eastAsia="仿宋_GB2312" w:hAnsi="Times New Roman" w:cs="仿宋_GB2312" w:hint="eastAsia"/>
          <w:sz w:val="32"/>
          <w:szCs w:val="32"/>
          <w:lang w:val="en-US" w:eastAsia="zh-CN"/>
        </w:rPr>
        <w:t>对</w:t>
      </w:r>
      <w:r>
        <w:rPr>
          <w:rFonts w:ascii="Times New Roman" w:eastAsia="仿宋_GB2312" w:hAnsi="Times New Roman" w:cs="仿宋_GB2312" w:hint="eastAsia"/>
          <w:sz w:val="32"/>
          <w:szCs w:val="32"/>
          <w:lang w:val="en-US" w:eastAsia="zh-CN"/>
        </w:rPr>
        <w:t>A</w:t>
      </w:r>
      <w:r>
        <w:rPr>
          <w:rFonts w:ascii="Times New Roman" w:eastAsia="仿宋_GB2312" w:hAnsi="Times New Roman" w:cs="仿宋_GB2312" w:hint="eastAsia"/>
          <w:sz w:val="32"/>
          <w:szCs w:val="32"/>
          <w:lang w:val="en-US" w:eastAsia="zh-CN"/>
        </w:rPr>
        <w:t>类企业，年度内抽查比例不得超过</w:t>
      </w:r>
      <w:r>
        <w:rPr>
          <w:rFonts w:ascii="Times New Roman" w:hAnsi="Times New Roman" w:hint="eastAsia"/>
          <w:sz w:val="32"/>
          <w:szCs w:val="32"/>
          <w:lang w:val="en-US" w:eastAsia="zh-CN" w:bidi="ar-SA"/>
        </w:rPr>
        <w:t>3%</w:t>
      </w:r>
      <w:r>
        <w:rPr>
          <w:rFonts w:ascii="仿宋_GB2312" w:eastAsia="仿宋_GB2312" w:hAnsi="仿宋_GB2312" w:cs="仿宋_GB2312" w:hint="eastAsia"/>
          <w:sz w:val="32"/>
          <w:szCs w:val="32"/>
          <w:lang w:val="en-US" w:eastAsia="zh-CN" w:bidi="ar-SA"/>
        </w:rPr>
        <w:t>，同一企业</w:t>
      </w:r>
      <w:r>
        <w:rPr>
          <w:rFonts w:ascii="仿宋_GB2312" w:eastAsia="仿宋_GB2312" w:hAnsi="仿宋_GB2312" w:cs="仿宋_GB2312" w:hint="eastAsia"/>
          <w:sz w:val="32"/>
          <w:szCs w:val="32"/>
          <w:lang w:val="en-US" w:eastAsia="zh-CN"/>
        </w:rPr>
        <w:t>每年至多实施</w:t>
      </w:r>
      <w:r>
        <w:rPr>
          <w:rFonts w:ascii="Times New Roman" w:eastAsia="仿宋_GB2312" w:hAnsi="Times New Roman" w:cs="仿宋_GB2312" w:hint="eastAsia"/>
          <w:sz w:val="32"/>
          <w:szCs w:val="32"/>
          <w:lang w:val="en-US" w:eastAsia="zh-CN"/>
        </w:rPr>
        <w:t>1</w:t>
      </w:r>
      <w:r>
        <w:rPr>
          <w:rFonts w:ascii="Times New Roman" w:eastAsia="仿宋_GB2312" w:hAnsi="Times New Roman" w:cs="仿宋_GB2312" w:hint="eastAsia"/>
          <w:sz w:val="32"/>
          <w:szCs w:val="32"/>
          <w:lang w:val="en-US" w:eastAsia="zh-CN"/>
        </w:rPr>
        <w:t>次检查；</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t>（二）</w:t>
      </w:r>
      <w:r>
        <w:rPr>
          <w:rFonts w:eastAsia="仿宋_GB2312" w:cs="仿宋_GB2312" w:hint="eastAsia"/>
          <w:sz w:val="32"/>
          <w:szCs w:val="32"/>
        </w:rPr>
        <w:t>对</w:t>
      </w:r>
      <w:r>
        <w:rPr>
          <w:rFonts w:eastAsia="仿宋_GB2312" w:cs="仿宋_GB2312" w:hint="eastAsia"/>
          <w:sz w:val="32"/>
          <w:szCs w:val="32"/>
        </w:rPr>
        <w:t>B</w:t>
      </w:r>
      <w:r>
        <w:rPr>
          <w:rFonts w:eastAsia="仿宋_GB2312" w:cs="仿宋_GB2312" w:hint="eastAsia"/>
          <w:sz w:val="32"/>
          <w:szCs w:val="32"/>
        </w:rPr>
        <w:t>类企业，年度内抽查比例不得超过</w:t>
      </w:r>
      <w:r>
        <w:rPr>
          <w:rFonts w:cs="宋体" w:hint="eastAsia"/>
          <w:sz w:val="32"/>
          <w:szCs w:val="32"/>
        </w:rPr>
        <w:t>5%</w:t>
      </w:r>
      <w:r>
        <w:rPr>
          <w:rFonts w:eastAsia="仿宋_GB2312" w:cs="仿宋_GB2312" w:hint="eastAsia"/>
          <w:sz w:val="32"/>
          <w:szCs w:val="32"/>
        </w:rPr>
        <w:t>，</w:t>
      </w:r>
      <w:r>
        <w:rPr>
          <w:rFonts w:eastAsia="仿宋_GB2312" w:cs="仿宋_GB2312" w:hint="eastAsia"/>
          <w:sz w:val="32"/>
          <w:szCs w:val="32"/>
        </w:rPr>
        <w:t>同一企业</w:t>
      </w:r>
      <w:r>
        <w:rPr>
          <w:rFonts w:eastAsia="仿宋_GB2312" w:cs="仿宋_GB2312" w:hint="eastAsia"/>
          <w:sz w:val="32"/>
          <w:szCs w:val="32"/>
        </w:rPr>
        <w:t>每年至多实施</w:t>
      </w:r>
      <w:r>
        <w:rPr>
          <w:rFonts w:eastAsia="仿宋_GB2312" w:cs="仿宋_GB2312" w:hint="eastAsia"/>
          <w:sz w:val="32"/>
          <w:szCs w:val="32"/>
        </w:rPr>
        <w:t>1</w:t>
      </w:r>
      <w:r>
        <w:rPr>
          <w:rFonts w:eastAsia="仿宋_GB2312" w:cs="仿宋_GB2312" w:hint="eastAsia"/>
          <w:sz w:val="32"/>
          <w:szCs w:val="32"/>
        </w:rPr>
        <w:t>次检查；</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t>（三）</w:t>
      </w:r>
      <w:r>
        <w:rPr>
          <w:rFonts w:eastAsia="仿宋_GB2312" w:cs="仿宋_GB2312" w:hint="eastAsia"/>
          <w:sz w:val="32"/>
          <w:szCs w:val="32"/>
        </w:rPr>
        <w:t>对</w:t>
      </w:r>
      <w:r>
        <w:rPr>
          <w:rFonts w:eastAsia="仿宋_GB2312" w:cs="仿宋_GB2312" w:hint="eastAsia"/>
          <w:sz w:val="32"/>
          <w:szCs w:val="32"/>
        </w:rPr>
        <w:t>C</w:t>
      </w:r>
      <w:r>
        <w:rPr>
          <w:rFonts w:eastAsia="仿宋_GB2312" w:cs="仿宋_GB2312" w:hint="eastAsia"/>
          <w:sz w:val="32"/>
          <w:szCs w:val="32"/>
        </w:rPr>
        <w:t>类企业，年度内抽查比例范围为</w:t>
      </w:r>
      <w:r>
        <w:rPr>
          <w:rFonts w:cs="宋体" w:hint="eastAsia"/>
          <w:sz w:val="32"/>
          <w:szCs w:val="32"/>
        </w:rPr>
        <w:t>5%</w:t>
      </w:r>
      <w:r>
        <w:rPr>
          <w:rFonts w:cs="宋体" w:hint="eastAsia"/>
          <w:sz w:val="32"/>
          <w:szCs w:val="32"/>
        </w:rPr>
        <w:t>—</w:t>
      </w:r>
      <w:r>
        <w:rPr>
          <w:rFonts w:cs="宋体" w:hint="eastAsia"/>
          <w:sz w:val="32"/>
          <w:szCs w:val="32"/>
        </w:rPr>
        <w:t>49</w:t>
      </w:r>
      <w:r>
        <w:rPr>
          <w:rFonts w:cs="宋体" w:hint="eastAsia"/>
          <w:sz w:val="32"/>
          <w:szCs w:val="32"/>
        </w:rPr>
        <w:t>%</w:t>
      </w:r>
      <w:r>
        <w:rPr>
          <w:rFonts w:eastAsia="仿宋_GB2312" w:cs="仿宋_GB2312" w:hint="eastAsia"/>
          <w:sz w:val="32"/>
          <w:szCs w:val="32"/>
        </w:rPr>
        <w:t>，</w:t>
      </w:r>
      <w:r>
        <w:rPr>
          <w:rFonts w:eastAsia="仿宋_GB2312" w:cs="仿宋_GB2312" w:hint="eastAsia"/>
          <w:sz w:val="32"/>
          <w:szCs w:val="32"/>
        </w:rPr>
        <w:t>同一企业</w:t>
      </w:r>
      <w:r>
        <w:rPr>
          <w:rFonts w:eastAsia="仿宋_GB2312" w:cs="仿宋_GB2312" w:hint="eastAsia"/>
          <w:sz w:val="32"/>
          <w:szCs w:val="32"/>
        </w:rPr>
        <w:t>每年实施</w:t>
      </w:r>
      <w:r>
        <w:rPr>
          <w:rFonts w:eastAsia="仿宋_GB2312" w:cs="仿宋_GB2312" w:hint="eastAsia"/>
          <w:sz w:val="32"/>
          <w:szCs w:val="32"/>
        </w:rPr>
        <w:t>1</w:t>
      </w:r>
      <w:r>
        <w:rPr>
          <w:rFonts w:eastAsia="仿宋_GB2312" w:cs="仿宋_GB2312" w:hint="eastAsia"/>
          <w:sz w:val="32"/>
          <w:szCs w:val="32"/>
        </w:rPr>
        <w:t>—</w:t>
      </w:r>
      <w:r>
        <w:rPr>
          <w:rFonts w:cs="宋体" w:hint="eastAsia"/>
          <w:sz w:val="32"/>
          <w:szCs w:val="32"/>
        </w:rPr>
        <w:t>2</w:t>
      </w:r>
      <w:r>
        <w:rPr>
          <w:rFonts w:eastAsia="仿宋_GB2312" w:cs="仿宋_GB2312" w:hint="eastAsia"/>
          <w:sz w:val="32"/>
          <w:szCs w:val="32"/>
        </w:rPr>
        <w:t>次检查；</w:t>
      </w:r>
    </w:p>
    <w:p w:rsidR="00000000" w:rsidRDefault="00641120">
      <w:pPr>
        <w:pStyle w:val="Bodytext1"/>
        <w:tabs>
          <w:tab w:val="left" w:pos="1592"/>
        </w:tabs>
        <w:spacing w:line="576" w:lineRule="exact"/>
        <w:ind w:firstLineChars="200" w:firstLine="64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（四）</w:t>
      </w:r>
      <w:r>
        <w:rPr>
          <w:rFonts w:ascii="Times New Roman" w:eastAsia="仿宋_GB2312" w:hAnsi="Times New Roman" w:cs="仿宋_GB2312" w:hint="eastAsia"/>
          <w:sz w:val="32"/>
          <w:szCs w:val="32"/>
          <w:lang w:val="en-US" w:eastAsia="zh-CN"/>
        </w:rPr>
        <w:t>对</w:t>
      </w:r>
      <w:r>
        <w:rPr>
          <w:rFonts w:ascii="Times New Roman" w:eastAsia="仿宋_GB2312" w:hAnsi="Times New Roman" w:cs="仿宋_GB2312" w:hint="eastAsia"/>
          <w:sz w:val="32"/>
          <w:szCs w:val="32"/>
          <w:lang w:val="en-US" w:eastAsia="zh-CN"/>
        </w:rPr>
        <w:t>D</w:t>
      </w:r>
      <w:r>
        <w:rPr>
          <w:rFonts w:ascii="Times New Roman" w:eastAsia="仿宋_GB2312" w:hAnsi="Times New Roman" w:cs="仿宋_GB2312" w:hint="eastAsia"/>
          <w:sz w:val="32"/>
          <w:szCs w:val="32"/>
          <w:lang w:val="en-US" w:eastAsia="zh-CN"/>
        </w:rPr>
        <w:t>类企业，年度内抽查比例范围为</w:t>
      </w:r>
      <w:r>
        <w:rPr>
          <w:rFonts w:ascii="Times New Roman" w:hAnsi="Times New Roman" w:hint="eastAsia"/>
          <w:sz w:val="32"/>
          <w:szCs w:val="32"/>
          <w:lang w:val="en-US" w:eastAsia="zh-CN"/>
        </w:rPr>
        <w:t>5</w:t>
      </w:r>
      <w:r>
        <w:rPr>
          <w:rFonts w:ascii="Times New Roman" w:hAnsi="Times New Roman" w:hint="eastAsia"/>
          <w:sz w:val="32"/>
          <w:szCs w:val="32"/>
          <w:lang w:val="en-US" w:eastAsia="zh-CN"/>
        </w:rPr>
        <w:t>0</w:t>
      </w:r>
      <w:r>
        <w:rPr>
          <w:rFonts w:ascii="Times New Roman" w:hAnsi="Times New Roman" w:hint="eastAsia"/>
          <w:sz w:val="32"/>
          <w:szCs w:val="32"/>
          <w:lang w:val="en-US" w:eastAsia="zh-CN"/>
        </w:rPr>
        <w:t>%</w:t>
      </w:r>
      <w:r>
        <w:rPr>
          <w:rFonts w:ascii="Times New Roman" w:hAnsi="Times New Roman" w:hint="eastAsia"/>
          <w:sz w:val="32"/>
          <w:szCs w:val="32"/>
          <w:lang w:val="en-US" w:eastAsia="zh-CN"/>
        </w:rPr>
        <w:t>—</w:t>
      </w:r>
      <w:r>
        <w:rPr>
          <w:rFonts w:ascii="Times New Roman" w:hAnsi="Times New Roman" w:hint="eastAsia"/>
          <w:sz w:val="32"/>
          <w:szCs w:val="32"/>
          <w:lang w:val="en-US" w:eastAsia="zh-CN"/>
        </w:rPr>
        <w:t>100</w:t>
      </w:r>
      <w:r>
        <w:rPr>
          <w:rFonts w:ascii="Times New Roman" w:hAnsi="Times New Roman" w:hint="eastAsia"/>
          <w:sz w:val="32"/>
          <w:szCs w:val="32"/>
          <w:lang w:val="en-US" w:eastAsia="zh-CN"/>
        </w:rPr>
        <w:t>%</w:t>
      </w:r>
      <w:r>
        <w:rPr>
          <w:rFonts w:ascii="仿宋_GB2312" w:eastAsia="仿宋_GB2312" w:hAnsi="仿宋_GB2312" w:cs="仿宋_GB2312" w:hint="eastAsia"/>
          <w:sz w:val="32"/>
          <w:szCs w:val="32"/>
          <w:lang w:val="en-US" w:eastAsia="zh-CN"/>
        </w:rPr>
        <w:t>，</w:t>
      </w:r>
      <w:r>
        <w:rPr>
          <w:rFonts w:ascii="Times New Roman" w:eastAsia="仿宋_GB2312" w:hAnsi="Times New Roman" w:cs="仿宋_GB2312" w:hint="eastAsia"/>
          <w:sz w:val="32"/>
          <w:szCs w:val="32"/>
          <w:lang w:val="en-US" w:eastAsia="zh-CN" w:bidi="ar-SA"/>
        </w:rPr>
        <w:t>同一企业</w:t>
      </w:r>
      <w:r>
        <w:rPr>
          <w:rFonts w:ascii="Times New Roman" w:eastAsia="仿宋_GB2312" w:hAnsi="Times New Roman" w:cs="仿宋_GB2312" w:hint="eastAsia"/>
          <w:sz w:val="32"/>
          <w:szCs w:val="32"/>
          <w:lang w:val="en-US" w:eastAsia="zh-CN"/>
        </w:rPr>
        <w:t>每年根据监管实际需求确定检</w:t>
      </w:r>
      <w:r>
        <w:rPr>
          <w:rFonts w:ascii="Times New Roman" w:eastAsia="仿宋_GB2312" w:hAnsi="Times New Roman" w:cs="仿宋_GB2312" w:hint="eastAsia"/>
          <w:sz w:val="32"/>
          <w:szCs w:val="32"/>
          <w:lang w:val="en-US" w:eastAsia="zh-CN"/>
        </w:rPr>
        <w:t>查次数。</w:t>
      </w:r>
    </w:p>
    <w:p w:rsidR="00000000" w:rsidRDefault="00641120">
      <w:pPr>
        <w:pStyle w:val="Bodytext1"/>
        <w:tabs>
          <w:tab w:val="left" w:pos="1592"/>
        </w:tabs>
        <w:spacing w:line="576" w:lineRule="exact"/>
        <w:ind w:firstLineChars="200" w:firstLine="640"/>
        <w:rPr>
          <w:rFonts w:ascii="Times New Roman" w:eastAsia="仿宋_GB2312" w:hAnsi="Times New Roman" w:cs="仿宋_GB2312" w:hint="eastAsia"/>
          <w:sz w:val="32"/>
          <w:szCs w:val="32"/>
          <w:lang w:val="en-US" w:eastAsia="zh-CN"/>
        </w:rPr>
      </w:pPr>
      <w:r>
        <w:rPr>
          <w:rFonts w:ascii="黑体" w:eastAsia="黑体" w:hAnsi="黑体" w:cs="黑体" w:hint="eastAsia"/>
          <w:sz w:val="32"/>
          <w:szCs w:val="32"/>
          <w:lang w:val="en-US" w:eastAsia="zh-CN" w:bidi="ar-SA"/>
        </w:rPr>
        <w:t>第九条</w:t>
      </w:r>
      <w:r>
        <w:rPr>
          <w:rFonts w:ascii="黑体" w:eastAsia="黑体" w:hAnsi="黑体" w:cs="黑体" w:hint="eastAsia"/>
          <w:sz w:val="32"/>
          <w:szCs w:val="32"/>
          <w:lang w:val="en-US" w:eastAsia="zh-CN" w:bidi="ar-SA"/>
        </w:rPr>
        <w:t xml:space="preserve">  </w:t>
      </w:r>
      <w:r>
        <w:rPr>
          <w:rFonts w:ascii="Times New Roman" w:eastAsia="仿宋_GB2312" w:hAnsi="Times New Roman" w:cs="仿宋_GB2312" w:hint="eastAsia"/>
          <w:sz w:val="32"/>
          <w:szCs w:val="32"/>
          <w:lang w:val="en-US" w:eastAsia="zh-CN"/>
        </w:rPr>
        <w:t>除现场检查外，开展分级分类监管可以采取下列形式：</w:t>
      </w:r>
    </w:p>
    <w:p w:rsidR="00000000" w:rsidRDefault="00641120">
      <w:pPr>
        <w:pStyle w:val="Bodytext1"/>
        <w:numPr>
          <w:ilvl w:val="0"/>
          <w:numId w:val="3"/>
        </w:numPr>
        <w:tabs>
          <w:tab w:val="left" w:pos="1592"/>
        </w:tabs>
        <w:spacing w:line="576" w:lineRule="exact"/>
        <w:ind w:firstLineChars="200" w:firstLine="64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通过网络监测、系统监测等途径实施非现场检查；</w:t>
      </w:r>
    </w:p>
    <w:p w:rsidR="00000000" w:rsidRDefault="00641120">
      <w:pPr>
        <w:pStyle w:val="Bodytext1"/>
        <w:numPr>
          <w:ilvl w:val="0"/>
          <w:numId w:val="3"/>
        </w:numPr>
        <w:tabs>
          <w:tab w:val="left" w:pos="1592"/>
        </w:tabs>
        <w:spacing w:line="576" w:lineRule="exact"/>
        <w:ind w:firstLineChars="200" w:firstLine="64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采取书面检查措施；</w:t>
      </w:r>
    </w:p>
    <w:p w:rsidR="00000000" w:rsidRDefault="00641120">
      <w:pPr>
        <w:pStyle w:val="Bodytext1"/>
        <w:numPr>
          <w:ilvl w:val="0"/>
          <w:numId w:val="3"/>
        </w:numPr>
        <w:tabs>
          <w:tab w:val="left" w:pos="1592"/>
        </w:tabs>
        <w:spacing w:line="576" w:lineRule="exact"/>
        <w:ind w:firstLineChars="200" w:firstLine="640"/>
        <w:rPr>
          <w:rFonts w:ascii="Times New Roman" w:eastAsia="仿宋_GB2312" w:hAnsi="Times New Roman" w:cs="仿宋_GB2312" w:hint="eastAsia"/>
          <w:sz w:val="32"/>
          <w:szCs w:val="32"/>
          <w:lang w:val="en-US" w:eastAsia="zh-CN"/>
        </w:rPr>
      </w:pPr>
      <w:r>
        <w:rPr>
          <w:rFonts w:ascii="Times New Roman" w:eastAsia="仿宋_GB2312" w:hAnsi="Times New Roman" w:cs="仿宋_GB2312" w:hint="eastAsia"/>
          <w:sz w:val="32"/>
          <w:szCs w:val="32"/>
          <w:lang w:val="en-US" w:eastAsia="zh-CN"/>
        </w:rPr>
        <w:t>其他可行的检查措施。</w:t>
      </w:r>
    </w:p>
    <w:p w:rsidR="00000000" w:rsidRDefault="00641120">
      <w:pPr>
        <w:pStyle w:val="Bodytext1"/>
        <w:tabs>
          <w:tab w:val="left" w:pos="1592"/>
        </w:tabs>
        <w:spacing w:line="576" w:lineRule="exact"/>
        <w:ind w:firstLineChars="200" w:firstLine="640"/>
        <w:rPr>
          <w:rFonts w:ascii="Times New Roman" w:eastAsia="仿宋_GB2312" w:hAnsi="Times New Roman" w:cs="仿宋_GB2312" w:hint="eastAsia"/>
          <w:sz w:val="32"/>
          <w:szCs w:val="32"/>
          <w:lang w:val="en-US" w:eastAsia="zh-CN"/>
        </w:rPr>
      </w:pPr>
      <w:r>
        <w:rPr>
          <w:rFonts w:ascii="黑体" w:eastAsia="黑体" w:hAnsi="黑体" w:cs="黑体" w:hint="eastAsia"/>
          <w:sz w:val="32"/>
          <w:szCs w:val="32"/>
          <w:lang w:val="en-US" w:eastAsia="zh-CN" w:bidi="ar-SA"/>
        </w:rPr>
        <w:lastRenderedPageBreak/>
        <w:t>第十条</w:t>
      </w:r>
      <w:r>
        <w:rPr>
          <w:rFonts w:ascii="黑体" w:eastAsia="黑体" w:hAnsi="黑体" w:cs="黑体"/>
          <w:sz w:val="32"/>
          <w:szCs w:val="32"/>
          <w:lang w:eastAsia="zh-CN" w:bidi="ar-SA"/>
        </w:rPr>
        <w:t xml:space="preserve"> </w:t>
      </w:r>
      <w:r>
        <w:rPr>
          <w:rFonts w:ascii="黑体" w:eastAsia="黑体" w:hAnsi="黑体" w:cs="黑体" w:hint="eastAsia"/>
          <w:sz w:val="32"/>
          <w:szCs w:val="32"/>
          <w:lang w:val="en-US" w:eastAsia="zh-CN" w:bidi="ar-SA"/>
        </w:rPr>
        <w:t xml:space="preserve"> </w:t>
      </w:r>
      <w:r>
        <w:rPr>
          <w:rFonts w:ascii="Times New Roman" w:eastAsia="仿宋_GB2312" w:hAnsi="Times New Roman" w:cs="仿宋_GB2312" w:hint="eastAsia"/>
          <w:sz w:val="32"/>
          <w:szCs w:val="32"/>
          <w:lang w:val="en-US" w:eastAsia="zh-CN"/>
        </w:rPr>
        <w:t>行政执法机关可以根据疫情防控、行业监管等需要，适当调整抽查比例和检查方式，并</w:t>
      </w:r>
      <w:r>
        <w:rPr>
          <w:rFonts w:ascii="Times New Roman" w:eastAsia="仿宋_GB2312" w:hAnsi="Times New Roman" w:cs="仿宋_GB2312" w:hint="eastAsia"/>
          <w:sz w:val="32"/>
          <w:szCs w:val="32"/>
          <w:lang w:val="en-US" w:eastAsia="zh-CN"/>
        </w:rPr>
        <w:t>报同级司法行政机关备案。</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w:t>
      </w:r>
      <w:r>
        <w:rPr>
          <w:rFonts w:ascii="黑体" w:eastAsia="黑体" w:hAnsi="黑体" w:cs="黑体" w:hint="eastAsia"/>
          <w:sz w:val="32"/>
          <w:szCs w:val="32"/>
        </w:rPr>
        <w:t>十一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eastAsia="仿宋_GB2312" w:cs="仿宋_GB2312" w:hint="eastAsia"/>
          <w:sz w:val="32"/>
          <w:szCs w:val="32"/>
        </w:rPr>
        <w:t>行政执法机关应在法律、法规、规章规定和部门职责范围内开展分级分类监管工作。</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w:t>
      </w:r>
      <w:r>
        <w:rPr>
          <w:rFonts w:ascii="黑体" w:eastAsia="黑体" w:hAnsi="黑体" w:cs="黑体" w:hint="eastAsia"/>
          <w:sz w:val="32"/>
          <w:szCs w:val="32"/>
        </w:rPr>
        <w:t>十二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eastAsia="仿宋_GB2312" w:cs="仿宋_GB2312" w:hint="eastAsia"/>
          <w:sz w:val="32"/>
          <w:szCs w:val="32"/>
        </w:rPr>
        <w:t>行政执法机关应当根据本级本部门行政检查权力事项清单，制定分级分类监管事项清单和工作流程，并报</w:t>
      </w:r>
      <w:r>
        <w:rPr>
          <w:rFonts w:eastAsia="仿宋_GB2312" w:cs="仿宋_GB2312" w:hint="eastAsia"/>
          <w:sz w:val="32"/>
          <w:szCs w:val="32"/>
        </w:rPr>
        <w:t>同级司法行政机关备案。</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w:t>
      </w:r>
      <w:r>
        <w:rPr>
          <w:rFonts w:ascii="黑体" w:eastAsia="黑体" w:hAnsi="黑体" w:cs="黑体" w:hint="eastAsia"/>
          <w:sz w:val="32"/>
          <w:szCs w:val="32"/>
        </w:rPr>
        <w:t>十三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eastAsia="仿宋_GB2312" w:cs="仿宋_GB2312" w:hint="eastAsia"/>
          <w:sz w:val="32"/>
          <w:szCs w:val="32"/>
        </w:rPr>
        <w:t>行政执法机关应</w:t>
      </w:r>
      <w:r>
        <w:rPr>
          <w:rFonts w:eastAsia="仿宋_GB2312" w:cs="仿宋_GB2312" w:hint="eastAsia"/>
          <w:sz w:val="32"/>
          <w:szCs w:val="32"/>
        </w:rPr>
        <w:t>当依托“双随机、一公开”监管工作平台或部门领域内监管平台开展分级分类监管工作。</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w:t>
      </w:r>
      <w:r>
        <w:rPr>
          <w:rFonts w:ascii="黑体" w:eastAsia="黑体" w:hAnsi="黑体" w:cs="黑体" w:hint="eastAsia"/>
          <w:sz w:val="32"/>
          <w:szCs w:val="32"/>
        </w:rPr>
        <w:t>十四</w:t>
      </w:r>
      <w:r>
        <w:rPr>
          <w:rFonts w:ascii="黑体" w:eastAsia="黑体" w:hAnsi="黑体" w:cs="黑体" w:hint="eastAsia"/>
          <w:sz w:val="32"/>
          <w:szCs w:val="32"/>
        </w:rPr>
        <w:t>条</w:t>
      </w:r>
      <w:r>
        <w:rPr>
          <w:rFonts w:eastAsia="仿宋_GB2312" w:cs="仿宋_GB2312" w:hint="eastAsia"/>
          <w:b/>
          <w:bCs/>
          <w:sz w:val="32"/>
          <w:szCs w:val="32"/>
        </w:rPr>
        <w:t xml:space="preserve">  </w:t>
      </w:r>
      <w:r>
        <w:rPr>
          <w:rFonts w:eastAsia="仿宋_GB2312" w:cs="仿宋_GB2312" w:hint="eastAsia"/>
          <w:sz w:val="32"/>
          <w:szCs w:val="32"/>
        </w:rPr>
        <w:t>开展分级分类监管应当全面落实行政执法信息公示、行政执法全过程记录和重大执法决定法制审核制度。</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第十五条</w:t>
      </w:r>
      <w:r>
        <w:rPr>
          <w:rFonts w:eastAsia="仿宋_GB2312" w:cs="仿宋_GB2312" w:hint="eastAsia"/>
          <w:sz w:val="32"/>
          <w:szCs w:val="32"/>
        </w:rPr>
        <w:t xml:space="preserve">  </w:t>
      </w:r>
      <w:r>
        <w:rPr>
          <w:rFonts w:eastAsia="仿宋_GB2312" w:cs="仿宋_GB2312" w:hint="eastAsia"/>
          <w:sz w:val="32"/>
          <w:szCs w:val="32"/>
        </w:rPr>
        <w:t>部门间联合组织涉企行政检查的，应当优先适用分级分类监管。分级分类标准需参加部门间协商一致，原则上应当以发起部门确定的标准为准。</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第十六条</w:t>
      </w:r>
      <w:r>
        <w:rPr>
          <w:rFonts w:ascii="黑体" w:eastAsia="黑体" w:hAnsi="黑体" w:cs="黑体" w:hint="eastAsia"/>
          <w:sz w:val="32"/>
          <w:szCs w:val="32"/>
        </w:rPr>
        <w:t xml:space="preserve">  </w:t>
      </w:r>
      <w:r>
        <w:rPr>
          <w:rFonts w:eastAsia="仿宋_GB2312" w:cs="仿宋_GB2312" w:hint="eastAsia"/>
          <w:sz w:val="32"/>
          <w:szCs w:val="32"/>
        </w:rPr>
        <w:t>有</w:t>
      </w:r>
      <w:r>
        <w:rPr>
          <w:rFonts w:eastAsia="仿宋_GB2312" w:cs="仿宋_GB2312" w:hint="eastAsia"/>
          <w:sz w:val="32"/>
          <w:szCs w:val="32"/>
        </w:rPr>
        <w:t>下列情形之一的，</w:t>
      </w:r>
      <w:r>
        <w:rPr>
          <w:rFonts w:eastAsia="仿宋_GB2312" w:cs="仿宋_GB2312" w:hint="eastAsia"/>
          <w:sz w:val="32"/>
          <w:szCs w:val="32"/>
        </w:rPr>
        <w:t>不适用分级分类监管：</w:t>
      </w:r>
    </w:p>
    <w:p w:rsidR="00000000" w:rsidRDefault="00641120">
      <w:pPr>
        <w:spacing w:line="576" w:lineRule="exact"/>
        <w:ind w:firstLineChars="200" w:firstLine="640"/>
        <w:rPr>
          <w:rFonts w:eastAsia="仿宋_GB2312" w:cs="仿宋_GB2312" w:hint="eastAsia"/>
          <w:b/>
          <w:bCs/>
          <w:sz w:val="32"/>
          <w:szCs w:val="32"/>
        </w:rPr>
      </w:pPr>
      <w:r>
        <w:rPr>
          <w:rFonts w:eastAsia="仿宋_GB2312" w:cs="仿宋_GB2312" w:hint="eastAsia"/>
          <w:sz w:val="32"/>
          <w:szCs w:val="32"/>
        </w:rPr>
        <w:t>（一）根据市、区（县级市）人民政府或者省</w:t>
      </w:r>
      <w:r>
        <w:rPr>
          <w:rFonts w:eastAsia="仿宋_GB2312" w:cs="仿宋_GB2312" w:hint="eastAsia"/>
          <w:sz w:val="32"/>
          <w:szCs w:val="32"/>
        </w:rPr>
        <w:t>级</w:t>
      </w:r>
      <w:r>
        <w:rPr>
          <w:rFonts w:eastAsia="仿宋_GB2312" w:cs="仿宋_GB2312" w:hint="eastAsia"/>
          <w:sz w:val="32"/>
          <w:szCs w:val="32"/>
        </w:rPr>
        <w:t>以上业务主管部门要求，已明确监管对象和监管频次</w:t>
      </w:r>
      <w:r>
        <w:rPr>
          <w:rFonts w:eastAsia="仿宋_GB2312" w:cs="仿宋_GB2312" w:hint="eastAsia"/>
          <w:sz w:val="32"/>
          <w:szCs w:val="32"/>
        </w:rPr>
        <w:t>的专项检查</w:t>
      </w:r>
      <w:r>
        <w:rPr>
          <w:rFonts w:eastAsia="仿宋_GB2312" w:cs="仿宋_GB2312" w:hint="eastAsia"/>
          <w:sz w:val="32"/>
          <w:szCs w:val="32"/>
        </w:rPr>
        <w:t>、</w:t>
      </w:r>
      <w:r>
        <w:rPr>
          <w:rFonts w:eastAsia="仿宋_GB2312" w:cs="仿宋_GB2312" w:hint="eastAsia"/>
          <w:sz w:val="32"/>
          <w:szCs w:val="32"/>
        </w:rPr>
        <w:t>临时检查</w:t>
      </w:r>
      <w:r>
        <w:rPr>
          <w:rFonts w:eastAsia="仿宋_GB2312" w:cs="仿宋_GB2312" w:hint="eastAsia"/>
          <w:sz w:val="32"/>
          <w:szCs w:val="32"/>
        </w:rPr>
        <w:t>；</w:t>
      </w:r>
    </w:p>
    <w:p w:rsidR="00000000" w:rsidRDefault="00641120">
      <w:pPr>
        <w:spacing w:line="576" w:lineRule="exact"/>
        <w:ind w:firstLineChars="200" w:firstLine="640"/>
        <w:rPr>
          <w:rFonts w:eastAsia="仿宋_GB2312" w:cs="仿宋_GB2312" w:hint="eastAsia"/>
          <w:b/>
          <w:bCs/>
          <w:sz w:val="32"/>
          <w:szCs w:val="32"/>
        </w:rPr>
      </w:pPr>
      <w:r>
        <w:rPr>
          <w:rFonts w:eastAsia="仿宋_GB2312" w:cs="仿宋_GB2312" w:hint="eastAsia"/>
          <w:sz w:val="32"/>
          <w:szCs w:val="32"/>
        </w:rPr>
        <w:t>（二）根据问题线索开展</w:t>
      </w:r>
      <w:r>
        <w:rPr>
          <w:rFonts w:eastAsia="仿宋_GB2312" w:cs="仿宋_GB2312" w:hint="eastAsia"/>
          <w:sz w:val="32"/>
          <w:szCs w:val="32"/>
        </w:rPr>
        <w:t>的监管；</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t>（三）其他需要检查的特殊情形。</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eastAsia="仿宋_GB2312" w:cs="仿宋_GB2312" w:hint="eastAsia"/>
          <w:b/>
          <w:bCs/>
          <w:sz w:val="32"/>
          <w:szCs w:val="32"/>
        </w:rPr>
        <w:t xml:space="preserve"> </w:t>
      </w:r>
      <w:r>
        <w:rPr>
          <w:rFonts w:eastAsia="仿宋_GB2312" w:cs="仿宋_GB2312" w:hint="eastAsia"/>
          <w:sz w:val="32"/>
          <w:szCs w:val="32"/>
        </w:rPr>
        <w:t>行政执法机关在分级分类监管中发现企业存在问题的，应当通过说服教育、信用约束、联合惩戒、责令改正、行政处罚等方式处理。</w:t>
      </w:r>
    </w:p>
    <w:p w:rsidR="00000000" w:rsidRDefault="00641120">
      <w:pPr>
        <w:spacing w:line="576" w:lineRule="exact"/>
        <w:ind w:firstLineChars="200" w:firstLine="640"/>
        <w:rPr>
          <w:rFonts w:eastAsia="仿宋_GB2312" w:cs="仿宋_GB2312" w:hint="eastAsia"/>
          <w:sz w:val="32"/>
          <w:szCs w:val="32"/>
        </w:rPr>
      </w:pPr>
      <w:r>
        <w:rPr>
          <w:rFonts w:eastAsia="仿宋_GB2312" w:cs="仿宋_GB2312" w:hint="eastAsia"/>
          <w:sz w:val="32"/>
          <w:szCs w:val="32"/>
        </w:rPr>
        <w:lastRenderedPageBreak/>
        <w:t>具备条件的行政执法机关之间应当互相推送和充分利用检查结果，作为开展分级分类监管的依据。</w:t>
      </w:r>
    </w:p>
    <w:p w:rsidR="00000000" w:rsidRDefault="00641120">
      <w:pPr>
        <w:spacing w:line="576" w:lineRule="exact"/>
        <w:ind w:firstLineChars="200" w:firstLine="640"/>
        <w:rPr>
          <w:rFonts w:ascii="仿宋_GB2312" w:eastAsia="仿宋_GB2312" w:hAnsi="仿宋_GB2312" w:cs="仿宋_GB2312" w:hint="eastAsia"/>
          <w:b/>
          <w:bCs/>
          <w:sz w:val="32"/>
          <w:szCs w:val="32"/>
        </w:rPr>
      </w:pPr>
      <w:r>
        <w:rPr>
          <w:rFonts w:ascii="黑体" w:eastAsia="黑体" w:hAnsi="黑体" w:cs="黑体" w:hint="eastAsia"/>
          <w:sz w:val="32"/>
          <w:szCs w:val="32"/>
        </w:rPr>
        <w:t>第十八条</w:t>
      </w:r>
      <w:r>
        <w:rPr>
          <w:rFonts w:ascii="黑体" w:eastAsia="黑体" w:hAnsi="黑体" w:cs="黑体" w:hint="eastAsia"/>
          <w:sz w:val="32"/>
          <w:szCs w:val="32"/>
        </w:rPr>
        <w:t xml:space="preserve"> </w:t>
      </w:r>
      <w:r>
        <w:rPr>
          <w:rFonts w:eastAsia="仿宋_GB2312" w:cs="仿宋_GB2312" w:hint="eastAsia"/>
          <w:b/>
          <w:bCs/>
          <w:sz w:val="32"/>
          <w:szCs w:val="32"/>
        </w:rPr>
        <w:t xml:space="preserve"> </w:t>
      </w:r>
      <w:r>
        <w:rPr>
          <w:rFonts w:eastAsia="仿宋_GB2312" w:cs="仿宋_GB2312" w:hint="eastAsia"/>
          <w:sz w:val="32"/>
          <w:szCs w:val="32"/>
        </w:rPr>
        <w:t>分级分类监管处理结果应当全面归集至国家企业信用信息公示系统，作为动态调</w:t>
      </w:r>
      <w:r>
        <w:rPr>
          <w:rFonts w:ascii="仿宋_GB2312" w:eastAsia="仿宋_GB2312" w:hAnsi="仿宋_GB2312" w:cs="仿宋_GB2312" w:hint="eastAsia"/>
          <w:sz w:val="32"/>
          <w:szCs w:val="32"/>
        </w:rPr>
        <w:t>整分级分类标准的依据，实现与全国信用信息共享平台、国家“互联网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监管”系统的信息共享，作为信用奖惩的依据。</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第十九条</w:t>
      </w:r>
      <w:r>
        <w:rPr>
          <w:rFonts w:ascii="黑体" w:eastAsia="黑体" w:hAnsi="黑体" w:cs="黑体" w:hint="eastAsia"/>
          <w:sz w:val="32"/>
          <w:szCs w:val="32"/>
        </w:rPr>
        <w:t xml:space="preserve"> </w:t>
      </w:r>
      <w:r>
        <w:rPr>
          <w:rFonts w:ascii="黑体" w:eastAsia="黑体" w:hAnsi="黑体" w:cs="黑体"/>
          <w:sz w:val="32"/>
          <w:szCs w:val="32"/>
          <w:lang/>
        </w:rPr>
        <w:t xml:space="preserve"> </w:t>
      </w:r>
      <w:r>
        <w:rPr>
          <w:rFonts w:eastAsia="仿宋_GB2312" w:cs="仿宋_GB2312" w:hint="eastAsia"/>
          <w:sz w:val="32"/>
          <w:szCs w:val="32"/>
        </w:rPr>
        <w:t>行政执法机关应当根据领域特点建立监管预警机制，对监</w:t>
      </w:r>
      <w:r>
        <w:rPr>
          <w:rFonts w:eastAsia="仿宋_GB2312" w:cs="仿宋_GB2312" w:hint="eastAsia"/>
          <w:sz w:val="32"/>
          <w:szCs w:val="32"/>
        </w:rPr>
        <w:t>管过程中发现的其他领域的问题，应当及时通报有关部门，有关部门应当依法依规进行处置。</w:t>
      </w:r>
    </w:p>
    <w:p w:rsidR="00000000" w:rsidRDefault="00641120">
      <w:pPr>
        <w:spacing w:line="576" w:lineRule="exact"/>
        <w:ind w:firstLineChars="200" w:firstLine="640"/>
        <w:rPr>
          <w:rFonts w:eastAsia="仿宋_GB2312" w:cs="仿宋_GB2312" w:hint="eastAsia"/>
          <w:sz w:val="32"/>
          <w:szCs w:val="32"/>
        </w:rPr>
        <w:sectPr w:rsidR="00000000">
          <w:footerReference w:type="default" r:id="rId7"/>
          <w:footerReference w:type="first" r:id="rId8"/>
          <w:pgSz w:w="11906" w:h="16838"/>
          <w:pgMar w:top="2098" w:right="1474" w:bottom="1984" w:left="1587" w:header="851" w:footer="1701" w:gutter="0"/>
          <w:cols w:space="720"/>
          <w:titlePg/>
          <w:docGrid w:type="lines" w:linePitch="600"/>
        </w:sectPr>
      </w:pPr>
      <w:r>
        <w:rPr>
          <w:rFonts w:ascii="黑体" w:eastAsia="黑体" w:hAnsi="黑体" w:cs="黑体" w:hint="eastAsia"/>
          <w:sz w:val="32"/>
          <w:szCs w:val="32"/>
        </w:rPr>
        <w:t>第二十条</w:t>
      </w:r>
      <w:r>
        <w:rPr>
          <w:rFonts w:ascii="黑体" w:eastAsia="黑体" w:hAnsi="黑体" w:cs="黑体"/>
          <w:sz w:val="32"/>
          <w:szCs w:val="32"/>
          <w:lang/>
        </w:rPr>
        <w:t xml:space="preserve"> </w:t>
      </w:r>
      <w:r>
        <w:rPr>
          <w:rFonts w:ascii="黑体" w:eastAsia="黑体" w:hAnsi="黑体" w:cs="黑体" w:hint="eastAsia"/>
          <w:sz w:val="32"/>
          <w:szCs w:val="32"/>
        </w:rPr>
        <w:t xml:space="preserve"> </w:t>
      </w:r>
      <w:r>
        <w:rPr>
          <w:rFonts w:eastAsia="仿宋_GB2312" w:cs="仿宋_GB2312" w:hint="eastAsia"/>
          <w:sz w:val="32"/>
          <w:szCs w:val="32"/>
        </w:rPr>
        <w:t>行政执法机关在推行分级分类监管中，发现企业可能存在或发生违法经营风险的，应当通过</w:t>
      </w:r>
      <w:r>
        <w:rPr>
          <w:rFonts w:eastAsia="仿宋_GB2312" w:cs="仿宋_GB2312" w:hint="eastAsia"/>
          <w:sz w:val="32"/>
          <w:szCs w:val="32"/>
        </w:rPr>
        <w:t>约谈、提醒等方式对</w:t>
      </w:r>
    </w:p>
    <w:p w:rsidR="00000000" w:rsidRDefault="00641120">
      <w:pPr>
        <w:spacing w:line="576" w:lineRule="exact"/>
        <w:rPr>
          <w:rFonts w:eastAsia="仿宋_GB2312" w:cs="仿宋_GB2312" w:hint="eastAsia"/>
          <w:b/>
          <w:bCs/>
          <w:sz w:val="32"/>
          <w:szCs w:val="32"/>
        </w:rPr>
      </w:pPr>
      <w:r>
        <w:rPr>
          <w:rFonts w:eastAsia="仿宋_GB2312" w:cs="仿宋_GB2312" w:hint="eastAsia"/>
          <w:sz w:val="32"/>
          <w:szCs w:val="32"/>
        </w:rPr>
        <w:lastRenderedPageBreak/>
        <w:t>企业进行风险提示。</w:t>
      </w:r>
    </w:p>
    <w:p w:rsidR="00000000" w:rsidRDefault="00641120">
      <w:pPr>
        <w:spacing w:line="576" w:lineRule="exact"/>
        <w:ind w:firstLineChars="200" w:firstLine="640"/>
        <w:rPr>
          <w:rFonts w:eastAsia="仿宋_GB2312" w:cs="仿宋_GB2312" w:hint="eastAsia"/>
          <w:sz w:val="32"/>
          <w:szCs w:val="32"/>
        </w:rPr>
      </w:pPr>
      <w:r>
        <w:rPr>
          <w:rFonts w:ascii="黑体" w:eastAsia="黑体" w:hAnsi="黑体" w:cs="黑体" w:hint="eastAsia"/>
          <w:sz w:val="32"/>
          <w:szCs w:val="32"/>
        </w:rPr>
        <w:t>第二十一条</w:t>
      </w:r>
      <w:r>
        <w:rPr>
          <w:rFonts w:ascii="黑体" w:eastAsia="黑体" w:hAnsi="黑体" w:cs="黑体" w:hint="eastAsia"/>
          <w:sz w:val="32"/>
          <w:szCs w:val="32"/>
        </w:rPr>
        <w:t xml:space="preserve"> </w:t>
      </w:r>
      <w:r>
        <w:rPr>
          <w:rFonts w:ascii="黑体" w:eastAsia="黑体" w:hAnsi="黑体" w:cs="黑体"/>
          <w:sz w:val="32"/>
          <w:szCs w:val="32"/>
          <w:lang/>
        </w:rPr>
        <w:t xml:space="preserve"> </w:t>
      </w:r>
      <w:r>
        <w:rPr>
          <w:rFonts w:eastAsia="仿宋_GB2312" w:cs="仿宋_GB2312" w:hint="eastAsia"/>
          <w:sz w:val="32"/>
          <w:szCs w:val="32"/>
        </w:rPr>
        <w:t>行政执法机关</w:t>
      </w:r>
      <w:r>
        <w:rPr>
          <w:rFonts w:eastAsia="仿宋_GB2312" w:cs="仿宋_GB2312" w:hint="eastAsia"/>
          <w:sz w:val="32"/>
          <w:szCs w:val="32"/>
        </w:rPr>
        <w:t>及其工作人员</w:t>
      </w:r>
      <w:r>
        <w:rPr>
          <w:rFonts w:eastAsia="仿宋_GB2312" w:cs="仿宋_GB2312" w:hint="eastAsia"/>
          <w:sz w:val="32"/>
          <w:szCs w:val="32"/>
        </w:rPr>
        <w:t>在分级分类监管工作中有玩忽职守、滥用职权、徇私舞弊行为的</w:t>
      </w:r>
      <w:r>
        <w:rPr>
          <w:rFonts w:eastAsia="仿宋_GB2312" w:cs="仿宋_GB2312" w:hint="eastAsia"/>
          <w:sz w:val="32"/>
          <w:szCs w:val="32"/>
        </w:rPr>
        <w:t>，</w:t>
      </w:r>
      <w:r>
        <w:rPr>
          <w:rFonts w:eastAsia="仿宋_GB2312" w:cs="仿宋_GB2312" w:hint="eastAsia"/>
          <w:sz w:val="32"/>
          <w:szCs w:val="32"/>
        </w:rPr>
        <w:t>应当依照有关法律、法规、规定进行处理；在分级分类监管工作中勤勉尽责、非因主观故意或重大过失出现监管缺失的，可以按照有关规定免于追责</w:t>
      </w:r>
      <w:r>
        <w:rPr>
          <w:rFonts w:eastAsia="仿宋_GB2312" w:cs="仿宋_GB2312" w:hint="eastAsia"/>
          <w:sz w:val="32"/>
          <w:szCs w:val="32"/>
        </w:rPr>
        <w:t>。</w:t>
      </w:r>
    </w:p>
    <w:p w:rsidR="00000000" w:rsidRDefault="00641120">
      <w:pPr>
        <w:pStyle w:val="a6"/>
        <w:spacing w:line="576" w:lineRule="exact"/>
        <w:ind w:firstLineChars="200" w:firstLine="640"/>
        <w:rPr>
          <w:rFonts w:ascii="仿宋_GB2312" w:hAnsi="彩虹粗仿宋"/>
          <w:snapToGrid w:val="0"/>
        </w:rPr>
      </w:pPr>
      <w:r>
        <w:rPr>
          <w:rFonts w:ascii="黑体" w:eastAsia="黑体" w:hAnsi="黑体" w:cs="黑体" w:hint="eastAsia"/>
        </w:rPr>
        <w:t>第二十二条</w:t>
      </w:r>
      <w:r>
        <w:rPr>
          <w:rFonts w:ascii="黑体" w:eastAsia="黑体" w:hAnsi="黑体" w:cs="黑体" w:hint="eastAsia"/>
        </w:rPr>
        <w:t xml:space="preserve"> </w:t>
      </w:r>
      <w:r>
        <w:rPr>
          <w:rFonts w:ascii="黑体" w:eastAsia="黑体" w:hAnsi="黑体" w:cs="黑体" w:hint="eastAsia"/>
        </w:rPr>
        <w:t xml:space="preserve"> </w:t>
      </w:r>
      <w:r>
        <w:rPr>
          <w:rFonts w:cs="仿宋_GB2312" w:hint="eastAsia"/>
        </w:rPr>
        <w:t>本办法</w:t>
      </w:r>
      <w:r>
        <w:rPr>
          <w:rFonts w:cs="仿宋_GB2312" w:hint="eastAsia"/>
        </w:rPr>
        <w:t>自</w:t>
      </w:r>
      <w:r>
        <w:rPr>
          <w:rFonts w:cs="仿宋_GB2312" w:hint="eastAsia"/>
        </w:rPr>
        <w:t>2022</w:t>
      </w:r>
      <w:r>
        <w:rPr>
          <w:rFonts w:cs="仿宋_GB2312" w:hint="eastAsia"/>
        </w:rPr>
        <w:t>年</w:t>
      </w:r>
      <w:r>
        <w:rPr>
          <w:rFonts w:cs="仿宋_GB2312" w:hint="eastAsia"/>
        </w:rPr>
        <w:t>10</w:t>
      </w:r>
      <w:r>
        <w:rPr>
          <w:rFonts w:cs="仿宋_GB2312" w:hint="eastAsia"/>
        </w:rPr>
        <w:t>月</w:t>
      </w:r>
      <w:r>
        <w:rPr>
          <w:rFonts w:cs="仿宋_GB2312" w:hint="eastAsia"/>
        </w:rPr>
        <w:t>10</w:t>
      </w:r>
      <w:r>
        <w:rPr>
          <w:rFonts w:cs="仿宋_GB2312" w:hint="eastAsia"/>
        </w:rPr>
        <w:t>日起施行，有效期至</w:t>
      </w:r>
      <w:r>
        <w:rPr>
          <w:rFonts w:cs="仿宋_GB2312" w:hint="eastAsia"/>
        </w:rPr>
        <w:t>202</w:t>
      </w:r>
      <w:r>
        <w:rPr>
          <w:rFonts w:cs="仿宋_GB2312" w:hint="eastAsia"/>
        </w:rPr>
        <w:t>7</w:t>
      </w:r>
      <w:r>
        <w:rPr>
          <w:rFonts w:cs="仿宋_GB2312" w:hint="eastAsia"/>
        </w:rPr>
        <w:t>年</w:t>
      </w:r>
      <w:r>
        <w:rPr>
          <w:rFonts w:cs="仿宋_GB2312" w:hint="eastAsia"/>
        </w:rPr>
        <w:t>10</w:t>
      </w:r>
      <w:r>
        <w:rPr>
          <w:rFonts w:cs="仿宋_GB2312" w:hint="eastAsia"/>
        </w:rPr>
        <w:t>月</w:t>
      </w:r>
      <w:r>
        <w:rPr>
          <w:rFonts w:cs="仿宋_GB2312" w:hint="eastAsia"/>
        </w:rPr>
        <w:t>9</w:t>
      </w:r>
      <w:r>
        <w:rPr>
          <w:rFonts w:cs="仿宋_GB2312" w:hint="eastAsia"/>
        </w:rPr>
        <w:t>日。</w:t>
      </w:r>
    </w:p>
    <w:p w:rsidR="00000000" w:rsidRDefault="00641120">
      <w:pPr>
        <w:pStyle w:val="a6"/>
        <w:spacing w:line="756" w:lineRule="exact"/>
        <w:rPr>
          <w:rFonts w:ascii="仿宋_GB2312" w:hAnsi="彩虹粗仿宋"/>
          <w:snapToGrid w:val="0"/>
        </w:rPr>
      </w:pPr>
    </w:p>
    <w:p w:rsidR="00000000" w:rsidRDefault="00641120">
      <w:pPr>
        <w:pStyle w:val="a6"/>
        <w:spacing w:line="756" w:lineRule="exact"/>
        <w:rPr>
          <w:rFonts w:ascii="仿宋_GB2312" w:hAnsi="彩虹粗仿宋"/>
          <w:snapToGrid w:val="0"/>
        </w:rPr>
      </w:pPr>
    </w:p>
    <w:p w:rsidR="00000000" w:rsidRDefault="00641120">
      <w:pPr>
        <w:pStyle w:val="a6"/>
        <w:spacing w:line="756" w:lineRule="exact"/>
        <w:rPr>
          <w:rFonts w:ascii="仿宋_GB2312" w:hAnsi="彩虹粗仿宋"/>
          <w:snapToGrid w:val="0"/>
        </w:rPr>
      </w:pPr>
    </w:p>
    <w:p w:rsidR="00000000" w:rsidRDefault="00641120">
      <w:pPr>
        <w:pStyle w:val="a6"/>
        <w:spacing w:line="756" w:lineRule="exact"/>
        <w:rPr>
          <w:rFonts w:ascii="仿宋_GB2312" w:hAnsi="彩虹粗仿宋"/>
          <w:snapToGrid w:val="0"/>
        </w:rPr>
      </w:pPr>
    </w:p>
    <w:p w:rsidR="00000000" w:rsidRDefault="00641120">
      <w:pPr>
        <w:pStyle w:val="a6"/>
        <w:spacing w:line="756" w:lineRule="exact"/>
        <w:rPr>
          <w:rFonts w:ascii="仿宋_GB2312" w:hAnsi="彩虹粗仿宋"/>
          <w:snapToGrid w:val="0"/>
        </w:rPr>
      </w:pPr>
    </w:p>
    <w:p w:rsidR="00000000" w:rsidRDefault="00641120">
      <w:pPr>
        <w:pStyle w:val="a6"/>
        <w:spacing w:line="756" w:lineRule="exact"/>
        <w:rPr>
          <w:rFonts w:ascii="仿宋_GB2312" w:hAnsi="彩虹粗仿宋"/>
          <w:snapToGrid w:val="0"/>
        </w:rPr>
      </w:pPr>
    </w:p>
    <w:p w:rsidR="00641120" w:rsidRDefault="00641120">
      <w:pPr>
        <w:spacing w:line="640" w:lineRule="exact"/>
        <w:ind w:leftChars="100" w:left="210" w:rightChars="100" w:right="210"/>
        <w:rPr>
          <w:rFonts w:hint="eastAsia"/>
        </w:rPr>
      </w:pPr>
    </w:p>
    <w:sectPr w:rsidR="00641120">
      <w:pgSz w:w="11906" w:h="16838"/>
      <w:pgMar w:top="2098" w:right="1474" w:bottom="1984" w:left="1587" w:header="851" w:footer="1701" w:gutter="0"/>
      <w:cols w:space="720"/>
      <w:titlePg/>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20" w:rsidRDefault="00641120">
      <w:r>
        <w:separator/>
      </w:r>
    </w:p>
  </w:endnote>
  <w:endnote w:type="continuationSeparator" w:id="1">
    <w:p w:rsidR="00641120" w:rsidRDefault="00641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方正小标宋简体">
    <w:altName w:val="Arial Unicode MS"/>
    <w:charset w:val="86"/>
    <w:family w:val="auto"/>
    <w:pitch w:val="default"/>
    <w:sig w:usb0="00000000" w:usb1="184F6CFA" w:usb2="00000012"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彩虹粗仿宋">
    <w:altName w:val="方正小标宋简体"/>
    <w:charset w:val="00"/>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1120">
    <w:pPr>
      <w:pStyle w:val="ab"/>
      <w:ind w:leftChars="100" w:left="210" w:rightChars="132" w:right="277" w:firstLineChars="40" w:firstLine="72"/>
    </w:pPr>
    <w:r>
      <w:pict>
        <v:shapetype id="_x0000_t202" coordsize="21600,21600" o:spt="202" path="m,l,21600r21600,l21600,xe">
          <v:stroke joinstyle="miter"/>
          <v:path gradientshapeok="t" o:connecttype="rect"/>
        </v:shapetype>
        <v:shape id="文本框 25" o:spid="_x0000_s2073" type="#_x0000_t202" style="position:absolute;left:0;text-align:left;margin-left:104pt;margin-top:0;width:2in;height:2in;z-index:251657728;mso-wrap-style:none;mso-position-horizontal:outside;mso-position-horizontal-relative:margin" filled="f" stroked="f">
          <v:fill o:detectmouseclick="t"/>
          <v:textbox style="mso-fit-shape-to-text:t" inset="0,0,0,0">
            <w:txbxContent>
              <w:p w:rsidR="00000000" w:rsidRDefault="00641120">
                <w:pPr>
                  <w:pStyle w:val="ab"/>
                  <w:ind w:leftChars="100" w:left="210" w:rightChars="132" w:right="277" w:firstLineChars="40" w:firstLine="112"/>
                </w:pPr>
                <w:r>
                  <w:rPr>
                    <w:rStyle w:val="af2"/>
                    <w:rFonts w:hint="eastAsia"/>
                    <w:sz w:val="28"/>
                    <w:szCs w:val="28"/>
                  </w:rPr>
                  <w:t>—</w:t>
                </w:r>
                <w:r>
                  <w:rPr>
                    <w:rStyle w:val="af2"/>
                    <w:rFonts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sidR="0067438C">
                  <w:rPr>
                    <w:rStyle w:val="af2"/>
                    <w:rFonts w:ascii="宋体" w:hAnsi="宋体"/>
                    <w:noProof/>
                    <w:sz w:val="28"/>
                    <w:szCs w:val="28"/>
                  </w:rPr>
                  <w:t>2</w:t>
                </w:r>
                <w:r>
                  <w:rPr>
                    <w:rFonts w:ascii="宋体" w:hAnsi="宋体"/>
                    <w:sz w:val="28"/>
                    <w:szCs w:val="28"/>
                  </w:rPr>
                  <w:fldChar w:fldCharType="end"/>
                </w:r>
                <w:r>
                  <w:rPr>
                    <w:rStyle w:val="af2"/>
                    <w:rFonts w:hint="eastAsia"/>
                    <w:sz w:val="28"/>
                    <w:szCs w:val="28"/>
                  </w:rPr>
                  <w:t xml:space="preserve"> </w:t>
                </w:r>
                <w:r>
                  <w:rPr>
                    <w:rStyle w:val="af2"/>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1120">
    <w:pPr>
      <w:pStyle w:val="ab"/>
      <w:ind w:leftChars="100" w:left="210" w:rightChars="132" w:right="277" w:firstLineChars="40" w:firstLine="7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20" w:rsidRDefault="00641120">
      <w:r>
        <w:separator/>
      </w:r>
    </w:p>
  </w:footnote>
  <w:footnote w:type="continuationSeparator" w:id="1">
    <w:p w:rsidR="00641120" w:rsidRDefault="00641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7F92C"/>
    <w:multiLevelType w:val="singleLevel"/>
    <w:tmpl w:val="9327F92C"/>
    <w:lvl w:ilvl="0">
      <w:start w:val="1"/>
      <w:numFmt w:val="chineseCounting"/>
      <w:suff w:val="nothing"/>
      <w:lvlText w:val="（%1）"/>
      <w:lvlJc w:val="left"/>
      <w:rPr>
        <w:rFonts w:hint="eastAsia"/>
      </w:rPr>
    </w:lvl>
  </w:abstractNum>
  <w:abstractNum w:abstractNumId="1">
    <w:nsid w:val="F92D5153"/>
    <w:multiLevelType w:val="singleLevel"/>
    <w:tmpl w:val="F92D5153"/>
    <w:lvl w:ilvl="0">
      <w:start w:val="1"/>
      <w:numFmt w:val="chineseCounting"/>
      <w:suff w:val="nothing"/>
      <w:lvlText w:val="（%1）"/>
      <w:lvlJc w:val="left"/>
      <w:rPr>
        <w:rFonts w:hint="eastAsia"/>
      </w:rPr>
    </w:lvl>
  </w:abstractNum>
  <w:abstractNum w:abstractNumId="2">
    <w:nsid w:val="23BD3230"/>
    <w:multiLevelType w:val="multilevel"/>
    <w:tmpl w:val="23BD3230"/>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850"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1"/>
  <w:drawingGridVerticalSpacing w:val="300"/>
  <w:displayHorizontalDrawingGridEvery w:val="0"/>
  <w:displayVerticalDrawingGridEvery w:val="2"/>
  <w:characterSpacingControl w:val="compressPunctuation"/>
  <w:hdrShapeDefaults>
    <o:shapedefaults v:ext="edit" spidmax="3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1D7"/>
    <w:rsid w:val="0002463A"/>
    <w:rsid w:val="00027692"/>
    <w:rsid w:val="00052DDE"/>
    <w:rsid w:val="00053D7C"/>
    <w:rsid w:val="000540B2"/>
    <w:rsid w:val="00062105"/>
    <w:rsid w:val="00076E1F"/>
    <w:rsid w:val="0008367F"/>
    <w:rsid w:val="00087F6F"/>
    <w:rsid w:val="00096FAE"/>
    <w:rsid w:val="000A06BE"/>
    <w:rsid w:val="000A58A9"/>
    <w:rsid w:val="000B3F8A"/>
    <w:rsid w:val="000C5356"/>
    <w:rsid w:val="000C58B2"/>
    <w:rsid w:val="000C6D5B"/>
    <w:rsid w:val="000D01A1"/>
    <w:rsid w:val="000E11FE"/>
    <w:rsid w:val="000F14F0"/>
    <w:rsid w:val="000F2796"/>
    <w:rsid w:val="000F2D9C"/>
    <w:rsid w:val="00105052"/>
    <w:rsid w:val="00110615"/>
    <w:rsid w:val="0011311D"/>
    <w:rsid w:val="001133F5"/>
    <w:rsid w:val="00117E5A"/>
    <w:rsid w:val="00123B44"/>
    <w:rsid w:val="00144E12"/>
    <w:rsid w:val="00155423"/>
    <w:rsid w:val="00156ABA"/>
    <w:rsid w:val="00163883"/>
    <w:rsid w:val="0016515E"/>
    <w:rsid w:val="00174BCF"/>
    <w:rsid w:val="00180759"/>
    <w:rsid w:val="00181EE6"/>
    <w:rsid w:val="0019094B"/>
    <w:rsid w:val="00191583"/>
    <w:rsid w:val="001A10EF"/>
    <w:rsid w:val="001D59B9"/>
    <w:rsid w:val="001F3D98"/>
    <w:rsid w:val="001F49FE"/>
    <w:rsid w:val="00200F11"/>
    <w:rsid w:val="00206C13"/>
    <w:rsid w:val="0021672F"/>
    <w:rsid w:val="00220150"/>
    <w:rsid w:val="00225E88"/>
    <w:rsid w:val="00237C83"/>
    <w:rsid w:val="00244530"/>
    <w:rsid w:val="00244B4A"/>
    <w:rsid w:val="0024525B"/>
    <w:rsid w:val="00251628"/>
    <w:rsid w:val="00262691"/>
    <w:rsid w:val="002669DD"/>
    <w:rsid w:val="002825F9"/>
    <w:rsid w:val="00282EF4"/>
    <w:rsid w:val="00283D58"/>
    <w:rsid w:val="002A240F"/>
    <w:rsid w:val="002E0C70"/>
    <w:rsid w:val="002F2553"/>
    <w:rsid w:val="002F6E26"/>
    <w:rsid w:val="002F738F"/>
    <w:rsid w:val="003039E9"/>
    <w:rsid w:val="00306B28"/>
    <w:rsid w:val="00306F93"/>
    <w:rsid w:val="00323DF4"/>
    <w:rsid w:val="00324668"/>
    <w:rsid w:val="003319D0"/>
    <w:rsid w:val="003455D3"/>
    <w:rsid w:val="00352AFE"/>
    <w:rsid w:val="0035384B"/>
    <w:rsid w:val="00362432"/>
    <w:rsid w:val="0037010A"/>
    <w:rsid w:val="003A7505"/>
    <w:rsid w:val="003B55AA"/>
    <w:rsid w:val="003C0D51"/>
    <w:rsid w:val="003C5359"/>
    <w:rsid w:val="003D28E8"/>
    <w:rsid w:val="003D70CA"/>
    <w:rsid w:val="003E12B4"/>
    <w:rsid w:val="003E36D8"/>
    <w:rsid w:val="003E39D5"/>
    <w:rsid w:val="003E7F60"/>
    <w:rsid w:val="003F0688"/>
    <w:rsid w:val="003F1B1D"/>
    <w:rsid w:val="003F3A3A"/>
    <w:rsid w:val="003F673C"/>
    <w:rsid w:val="004109FC"/>
    <w:rsid w:val="00434A81"/>
    <w:rsid w:val="00445D69"/>
    <w:rsid w:val="00446E9E"/>
    <w:rsid w:val="00463573"/>
    <w:rsid w:val="00465C98"/>
    <w:rsid w:val="004837C9"/>
    <w:rsid w:val="004863CD"/>
    <w:rsid w:val="00487CCF"/>
    <w:rsid w:val="00494124"/>
    <w:rsid w:val="004B4BCC"/>
    <w:rsid w:val="004D1C7B"/>
    <w:rsid w:val="004D526D"/>
    <w:rsid w:val="004E56D3"/>
    <w:rsid w:val="004F1014"/>
    <w:rsid w:val="005028A1"/>
    <w:rsid w:val="0052034B"/>
    <w:rsid w:val="0055417A"/>
    <w:rsid w:val="00557044"/>
    <w:rsid w:val="00560DC5"/>
    <w:rsid w:val="0057052D"/>
    <w:rsid w:val="00572D70"/>
    <w:rsid w:val="00582861"/>
    <w:rsid w:val="00585998"/>
    <w:rsid w:val="00585DFD"/>
    <w:rsid w:val="00590002"/>
    <w:rsid w:val="0059391A"/>
    <w:rsid w:val="0059746B"/>
    <w:rsid w:val="005B57E6"/>
    <w:rsid w:val="005C0DD7"/>
    <w:rsid w:val="005C4342"/>
    <w:rsid w:val="005C7641"/>
    <w:rsid w:val="005F0B5A"/>
    <w:rsid w:val="005F0C76"/>
    <w:rsid w:val="005F33B9"/>
    <w:rsid w:val="00601A55"/>
    <w:rsid w:val="00602ED2"/>
    <w:rsid w:val="00603255"/>
    <w:rsid w:val="00604AC6"/>
    <w:rsid w:val="00623054"/>
    <w:rsid w:val="00625971"/>
    <w:rsid w:val="00641120"/>
    <w:rsid w:val="0065781F"/>
    <w:rsid w:val="00660B4C"/>
    <w:rsid w:val="0067230E"/>
    <w:rsid w:val="0067438C"/>
    <w:rsid w:val="00682221"/>
    <w:rsid w:val="00685029"/>
    <w:rsid w:val="006856D6"/>
    <w:rsid w:val="0069074F"/>
    <w:rsid w:val="006A3FDC"/>
    <w:rsid w:val="006A51A5"/>
    <w:rsid w:val="006A5ACE"/>
    <w:rsid w:val="006C3218"/>
    <w:rsid w:val="006C4DAE"/>
    <w:rsid w:val="006C61A3"/>
    <w:rsid w:val="006D5AFB"/>
    <w:rsid w:val="006E36D4"/>
    <w:rsid w:val="00704118"/>
    <w:rsid w:val="00705320"/>
    <w:rsid w:val="00717561"/>
    <w:rsid w:val="00721BFC"/>
    <w:rsid w:val="00723327"/>
    <w:rsid w:val="00734706"/>
    <w:rsid w:val="0074056D"/>
    <w:rsid w:val="007542FB"/>
    <w:rsid w:val="00762F84"/>
    <w:rsid w:val="0077155B"/>
    <w:rsid w:val="00785638"/>
    <w:rsid w:val="0079140D"/>
    <w:rsid w:val="007C19C5"/>
    <w:rsid w:val="007D0E5B"/>
    <w:rsid w:val="007D5551"/>
    <w:rsid w:val="007E7F01"/>
    <w:rsid w:val="00803F14"/>
    <w:rsid w:val="0081200E"/>
    <w:rsid w:val="00816282"/>
    <w:rsid w:val="00841534"/>
    <w:rsid w:val="00857E69"/>
    <w:rsid w:val="008801C9"/>
    <w:rsid w:val="008850EC"/>
    <w:rsid w:val="008856BB"/>
    <w:rsid w:val="00890A13"/>
    <w:rsid w:val="008940B0"/>
    <w:rsid w:val="008A4BDA"/>
    <w:rsid w:val="008D6822"/>
    <w:rsid w:val="008E07B3"/>
    <w:rsid w:val="008E531A"/>
    <w:rsid w:val="00900840"/>
    <w:rsid w:val="00901FCF"/>
    <w:rsid w:val="00905B33"/>
    <w:rsid w:val="00910A30"/>
    <w:rsid w:val="00911D54"/>
    <w:rsid w:val="0091214B"/>
    <w:rsid w:val="009265B8"/>
    <w:rsid w:val="00931BEC"/>
    <w:rsid w:val="00947976"/>
    <w:rsid w:val="00953D04"/>
    <w:rsid w:val="00983152"/>
    <w:rsid w:val="00996A9F"/>
    <w:rsid w:val="009B0094"/>
    <w:rsid w:val="009B2098"/>
    <w:rsid w:val="009D11F7"/>
    <w:rsid w:val="009E3D71"/>
    <w:rsid w:val="009E43CD"/>
    <w:rsid w:val="009E4A07"/>
    <w:rsid w:val="00A02AE8"/>
    <w:rsid w:val="00A3225C"/>
    <w:rsid w:val="00A46BCD"/>
    <w:rsid w:val="00A4778F"/>
    <w:rsid w:val="00A607D6"/>
    <w:rsid w:val="00A73A13"/>
    <w:rsid w:val="00A83544"/>
    <w:rsid w:val="00A87038"/>
    <w:rsid w:val="00A87AC3"/>
    <w:rsid w:val="00AA294D"/>
    <w:rsid w:val="00AB5966"/>
    <w:rsid w:val="00AB6685"/>
    <w:rsid w:val="00AC3AE8"/>
    <w:rsid w:val="00AC5676"/>
    <w:rsid w:val="00AD15A4"/>
    <w:rsid w:val="00AD6C5F"/>
    <w:rsid w:val="00AF024B"/>
    <w:rsid w:val="00AF5AA4"/>
    <w:rsid w:val="00B010A8"/>
    <w:rsid w:val="00B12D82"/>
    <w:rsid w:val="00B222CE"/>
    <w:rsid w:val="00B33D13"/>
    <w:rsid w:val="00B35864"/>
    <w:rsid w:val="00B47B16"/>
    <w:rsid w:val="00B5328C"/>
    <w:rsid w:val="00B6393E"/>
    <w:rsid w:val="00B676C9"/>
    <w:rsid w:val="00B749E5"/>
    <w:rsid w:val="00B8563D"/>
    <w:rsid w:val="00B92D1F"/>
    <w:rsid w:val="00B93E1A"/>
    <w:rsid w:val="00B97382"/>
    <w:rsid w:val="00BC74AA"/>
    <w:rsid w:val="00BC788B"/>
    <w:rsid w:val="00BD02B9"/>
    <w:rsid w:val="00BD5F15"/>
    <w:rsid w:val="00BD73D7"/>
    <w:rsid w:val="00BE3D4C"/>
    <w:rsid w:val="00BE4B38"/>
    <w:rsid w:val="00BF7781"/>
    <w:rsid w:val="00C06ECA"/>
    <w:rsid w:val="00C145D3"/>
    <w:rsid w:val="00C20D47"/>
    <w:rsid w:val="00C2130C"/>
    <w:rsid w:val="00C2144F"/>
    <w:rsid w:val="00C34826"/>
    <w:rsid w:val="00C40117"/>
    <w:rsid w:val="00C417AD"/>
    <w:rsid w:val="00C54AA6"/>
    <w:rsid w:val="00C56BD9"/>
    <w:rsid w:val="00C62628"/>
    <w:rsid w:val="00C64E78"/>
    <w:rsid w:val="00C716B5"/>
    <w:rsid w:val="00C76C23"/>
    <w:rsid w:val="00C77AC5"/>
    <w:rsid w:val="00C808E1"/>
    <w:rsid w:val="00C9240D"/>
    <w:rsid w:val="00C92603"/>
    <w:rsid w:val="00C941D7"/>
    <w:rsid w:val="00CA14C1"/>
    <w:rsid w:val="00CA1FD2"/>
    <w:rsid w:val="00CC5199"/>
    <w:rsid w:val="00CD3F94"/>
    <w:rsid w:val="00CD4278"/>
    <w:rsid w:val="00CE1637"/>
    <w:rsid w:val="00CE4834"/>
    <w:rsid w:val="00CF1BEF"/>
    <w:rsid w:val="00CF3B25"/>
    <w:rsid w:val="00CF44C5"/>
    <w:rsid w:val="00CF628B"/>
    <w:rsid w:val="00CF7B92"/>
    <w:rsid w:val="00D12AB2"/>
    <w:rsid w:val="00D15EA3"/>
    <w:rsid w:val="00D16735"/>
    <w:rsid w:val="00D23AF2"/>
    <w:rsid w:val="00D26A70"/>
    <w:rsid w:val="00D27360"/>
    <w:rsid w:val="00D35CE1"/>
    <w:rsid w:val="00D36A3E"/>
    <w:rsid w:val="00D42C51"/>
    <w:rsid w:val="00D46223"/>
    <w:rsid w:val="00D84D5A"/>
    <w:rsid w:val="00D94EE4"/>
    <w:rsid w:val="00DA438C"/>
    <w:rsid w:val="00DA605C"/>
    <w:rsid w:val="00DB5038"/>
    <w:rsid w:val="00DB6030"/>
    <w:rsid w:val="00DC2543"/>
    <w:rsid w:val="00DC36C6"/>
    <w:rsid w:val="00DE65C6"/>
    <w:rsid w:val="00DF20C9"/>
    <w:rsid w:val="00E144B7"/>
    <w:rsid w:val="00E27BAA"/>
    <w:rsid w:val="00E40B27"/>
    <w:rsid w:val="00E43C84"/>
    <w:rsid w:val="00E6078F"/>
    <w:rsid w:val="00E643BD"/>
    <w:rsid w:val="00E64759"/>
    <w:rsid w:val="00E75BCF"/>
    <w:rsid w:val="00E75FAB"/>
    <w:rsid w:val="00E87AE1"/>
    <w:rsid w:val="00EA4B18"/>
    <w:rsid w:val="00EA5489"/>
    <w:rsid w:val="00EB7E14"/>
    <w:rsid w:val="00EC7200"/>
    <w:rsid w:val="00ED40EF"/>
    <w:rsid w:val="00ED4C43"/>
    <w:rsid w:val="00ED702A"/>
    <w:rsid w:val="00EE1DAD"/>
    <w:rsid w:val="00EF101A"/>
    <w:rsid w:val="00EF2631"/>
    <w:rsid w:val="00EF62F0"/>
    <w:rsid w:val="00F008F0"/>
    <w:rsid w:val="00F05D69"/>
    <w:rsid w:val="00F13D3D"/>
    <w:rsid w:val="00F15EBA"/>
    <w:rsid w:val="00F16E9B"/>
    <w:rsid w:val="00F213EE"/>
    <w:rsid w:val="00F278B9"/>
    <w:rsid w:val="00F50056"/>
    <w:rsid w:val="00F5117E"/>
    <w:rsid w:val="00F52BD3"/>
    <w:rsid w:val="00F54616"/>
    <w:rsid w:val="00F651AD"/>
    <w:rsid w:val="00F67188"/>
    <w:rsid w:val="00F703DD"/>
    <w:rsid w:val="00F709C7"/>
    <w:rsid w:val="00F73B36"/>
    <w:rsid w:val="00F75E0D"/>
    <w:rsid w:val="00F93D9D"/>
    <w:rsid w:val="00F965D8"/>
    <w:rsid w:val="00FA25F3"/>
    <w:rsid w:val="00FB0429"/>
    <w:rsid w:val="00FB3218"/>
    <w:rsid w:val="00FC04DB"/>
    <w:rsid w:val="00FE7218"/>
    <w:rsid w:val="00FF3D54"/>
    <w:rsid w:val="04A664A2"/>
    <w:rsid w:val="0B285726"/>
    <w:rsid w:val="11727CBC"/>
    <w:rsid w:val="11F15CC8"/>
    <w:rsid w:val="13FE4E5A"/>
    <w:rsid w:val="1C1031DF"/>
    <w:rsid w:val="1DCD71D0"/>
    <w:rsid w:val="1F8205F7"/>
    <w:rsid w:val="1F8219A6"/>
    <w:rsid w:val="1FBB4C5D"/>
    <w:rsid w:val="204F5032"/>
    <w:rsid w:val="207A163D"/>
    <w:rsid w:val="20DC200A"/>
    <w:rsid w:val="20E33AE0"/>
    <w:rsid w:val="2D612F3D"/>
    <w:rsid w:val="34F82CAA"/>
    <w:rsid w:val="37C5142C"/>
    <w:rsid w:val="39273499"/>
    <w:rsid w:val="39DA2862"/>
    <w:rsid w:val="40B90FD0"/>
    <w:rsid w:val="44351F6B"/>
    <w:rsid w:val="4C72380E"/>
    <w:rsid w:val="4DF7E0BC"/>
    <w:rsid w:val="520E6AC3"/>
    <w:rsid w:val="57297309"/>
    <w:rsid w:val="5BCFD006"/>
    <w:rsid w:val="5FFF287D"/>
    <w:rsid w:val="672C409A"/>
    <w:rsid w:val="68F02FA6"/>
    <w:rsid w:val="69445283"/>
    <w:rsid w:val="6DEA577F"/>
    <w:rsid w:val="6FDF5249"/>
    <w:rsid w:val="6FFA7034"/>
    <w:rsid w:val="716A7D16"/>
    <w:rsid w:val="71EB0D34"/>
    <w:rsid w:val="72F36059"/>
    <w:rsid w:val="7534172E"/>
    <w:rsid w:val="76A010C5"/>
    <w:rsid w:val="77EFC3C1"/>
    <w:rsid w:val="7BFD83CA"/>
    <w:rsid w:val="7CEC6851"/>
    <w:rsid w:val="7EFB16C5"/>
    <w:rsid w:val="7FC68CBE"/>
    <w:rsid w:val="7FED451B"/>
    <w:rsid w:val="7FEDD5EC"/>
    <w:rsid w:val="9B5F3AC9"/>
    <w:rsid w:val="DF765EFC"/>
    <w:rsid w:val="E7BF3164"/>
    <w:rsid w:val="EFFA4964"/>
    <w:rsid w:val="F5FF4505"/>
    <w:rsid w:val="FADF2E82"/>
    <w:rsid w:val="FEFBAA77"/>
    <w:rsid w:val="FEFFFDCA"/>
    <w:rsid w:val="FF77B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uiPriority="99" w:unhideWhenUsed="1"/>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Body Text First Indent" w:qFormat="1"/>
    <w:lsdException w:name="Body Text First Indent 2" w:uiPriority="99" w:unhideWhenUsed="1"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qFormat/>
    <w:pPr>
      <w:keepNext/>
      <w:keepLines/>
      <w:spacing w:before="260" w:after="260" w:line="416" w:lineRule="auto"/>
      <w:outlineLvl w:val="1"/>
    </w:pPr>
    <w:rPr>
      <w:rFonts w:ascii="Calibri Light" w:hAnsi="Calibri Light"/>
      <w:b/>
      <w:bCs/>
      <w:sz w:val="32"/>
      <w:szCs w:val="32"/>
    </w:rPr>
  </w:style>
  <w:style w:type="paragraph" w:styleId="5">
    <w:name w:val="heading 5"/>
    <w:next w:val="a"/>
    <w:qFormat/>
    <w:pPr>
      <w:keepNext/>
      <w:keepLines/>
      <w:widowControl w:val="0"/>
      <w:numPr>
        <w:ilvl w:val="4"/>
        <w:numId w:val="1"/>
      </w:numPr>
      <w:ind w:left="851" w:hanging="851"/>
      <w:jc w:val="both"/>
      <w:outlineLvl w:val="4"/>
    </w:pPr>
    <w:rPr>
      <w:rFonts w:ascii="Calibri" w:hAnsi="Calibri"/>
      <w:b/>
      <w:bCs/>
      <w:kern w:val="2"/>
      <w:sz w:val="21"/>
      <w:szCs w:val="28"/>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420"/>
    </w:pPr>
  </w:style>
  <w:style w:type="paragraph" w:styleId="a3">
    <w:name w:val="Body Text Indent"/>
    <w:basedOn w:val="a"/>
    <w:next w:val="a4"/>
    <w:pPr>
      <w:spacing w:line="600" w:lineRule="exact"/>
      <w:ind w:firstLine="645"/>
    </w:pPr>
    <w:rPr>
      <w:rFonts w:ascii="仿宋_GB2312" w:eastAsia="仿宋_GB2312" w:hAnsi="宋体"/>
      <w:sz w:val="32"/>
      <w:szCs w:val="32"/>
    </w:rPr>
  </w:style>
  <w:style w:type="paragraph" w:styleId="a4">
    <w:name w:val="Normal Indent"/>
    <w:basedOn w:val="a"/>
    <w:uiPriority w:val="99"/>
    <w:unhideWhenUsed/>
    <w:qFormat/>
    <w:pPr>
      <w:ind w:firstLineChars="200" w:firstLine="420"/>
    </w:pPr>
  </w:style>
  <w:style w:type="character" w:customStyle="1" w:styleId="1Char">
    <w:name w:val="标题 1 Char"/>
    <w:link w:val="1"/>
    <w:rPr>
      <w:b/>
      <w:bCs/>
      <w:kern w:val="44"/>
      <w:sz w:val="44"/>
      <w:szCs w:val="44"/>
    </w:rPr>
  </w:style>
  <w:style w:type="character" w:customStyle="1" w:styleId="2Char">
    <w:name w:val="标题 2 Char"/>
    <w:link w:val="20"/>
    <w:semiHidden/>
    <w:rPr>
      <w:rFonts w:ascii="Calibri Light" w:eastAsia="宋体" w:hAnsi="Calibri Light" w:cs="Times New Roman"/>
      <w:b/>
      <w:bCs/>
      <w:kern w:val="2"/>
      <w:sz w:val="32"/>
      <w:szCs w:val="32"/>
    </w:rPr>
  </w:style>
  <w:style w:type="paragraph" w:styleId="a5">
    <w:name w:val="annotation text"/>
    <w:basedOn w:val="a"/>
    <w:link w:val="Char"/>
    <w:uiPriority w:val="99"/>
    <w:unhideWhenUsed/>
    <w:pPr>
      <w:jc w:val="left"/>
    </w:pPr>
  </w:style>
  <w:style w:type="character" w:customStyle="1" w:styleId="Char">
    <w:name w:val="批注文字 Char"/>
    <w:link w:val="a5"/>
    <w:uiPriority w:val="99"/>
    <w:rPr>
      <w:kern w:val="2"/>
      <w:sz w:val="21"/>
      <w:szCs w:val="24"/>
    </w:rPr>
  </w:style>
  <w:style w:type="paragraph" w:styleId="a6">
    <w:name w:val="Body Text"/>
    <w:basedOn w:val="a"/>
    <w:pPr>
      <w:spacing w:line="480" w:lineRule="exact"/>
    </w:pPr>
    <w:rPr>
      <w:rFonts w:eastAsia="仿宋_GB2312"/>
      <w:sz w:val="32"/>
      <w:szCs w:val="32"/>
    </w:rPr>
  </w:style>
  <w:style w:type="paragraph" w:styleId="a7">
    <w:name w:val="Block Text"/>
    <w:basedOn w:val="a"/>
    <w:pPr>
      <w:ind w:leftChars="101" w:left="1289" w:rightChars="100" w:right="320" w:hangingChars="483" w:hanging="966"/>
    </w:pPr>
    <w:rPr>
      <w:rFonts w:eastAsia="仿宋_GB2312"/>
      <w:sz w:val="32"/>
    </w:rPr>
  </w:style>
  <w:style w:type="paragraph" w:styleId="a8">
    <w:name w:val="Plain Text"/>
    <w:basedOn w:val="a"/>
    <w:rPr>
      <w:rFonts w:ascii="宋体" w:hAnsi="Courier New" w:cs="Courier New"/>
      <w:szCs w:val="21"/>
    </w:rPr>
  </w:style>
  <w:style w:type="paragraph" w:styleId="a9">
    <w:name w:val="Date"/>
    <w:basedOn w:val="a"/>
    <w:next w:val="a"/>
    <w:pPr>
      <w:ind w:leftChars="2500" w:left="100"/>
    </w:pPr>
    <w:rPr>
      <w:rFonts w:eastAsia="仿宋_GB2312"/>
      <w:sz w:val="32"/>
    </w:rPr>
  </w:style>
  <w:style w:type="paragraph" w:styleId="21">
    <w:name w:val="Body Text Indent 2"/>
    <w:basedOn w:val="a"/>
    <w:pPr>
      <w:ind w:firstLineChars="200" w:firstLine="640"/>
    </w:pPr>
    <w:rPr>
      <w:rFonts w:ascii="仿宋_GB2312" w:eastAsia="仿宋_GB2312"/>
      <w:sz w:val="32"/>
      <w:szCs w:val="32"/>
    </w:rPr>
  </w:style>
  <w:style w:type="paragraph" w:styleId="aa">
    <w:name w:val="Balloon Text"/>
    <w:basedOn w:val="a"/>
    <w:link w:val="Char0"/>
    <w:rPr>
      <w:sz w:val="18"/>
      <w:szCs w:val="18"/>
    </w:rPr>
  </w:style>
  <w:style w:type="character" w:customStyle="1" w:styleId="Char0">
    <w:name w:val="批注框文本 Char"/>
    <w:link w:val="aa"/>
    <w:rPr>
      <w:kern w:val="2"/>
      <w:sz w:val="18"/>
      <w:szCs w:val="18"/>
    </w:rPr>
  </w:style>
  <w:style w:type="paragraph" w:styleId="ab">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b"/>
    <w:uiPriority w:val="99"/>
    <w:rPr>
      <w:kern w:val="2"/>
      <w:sz w:val="18"/>
      <w:szCs w:val="18"/>
    </w:rPr>
  </w:style>
  <w:style w:type="paragraph" w:styleId="ac">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c"/>
    <w:rPr>
      <w:kern w:val="2"/>
      <w:sz w:val="18"/>
      <w:szCs w:val="18"/>
    </w:rPr>
  </w:style>
  <w:style w:type="paragraph" w:styleId="10">
    <w:name w:val="toc 1"/>
    <w:basedOn w:val="a"/>
    <w:next w:val="a"/>
    <w:pPr>
      <w:ind w:firstLineChars="200" w:firstLine="640"/>
    </w:pPr>
    <w:rPr>
      <w:rFonts w:ascii="仿宋_GB2312" w:eastAsia="仿宋_GB2312" w:hAnsi="黑体"/>
      <w:kern w:val="10"/>
      <w:sz w:val="32"/>
      <w:szCs w:val="32"/>
    </w:rPr>
  </w:style>
  <w:style w:type="paragraph" w:styleId="3">
    <w:name w:val="Body Text Indent 3"/>
    <w:basedOn w:val="a"/>
    <w:pPr>
      <w:spacing w:line="640" w:lineRule="exact"/>
      <w:ind w:firstLineChars="200" w:firstLine="640"/>
    </w:pPr>
    <w:rPr>
      <w:rFonts w:ascii="仿宋_GB2312" w:eastAsia="仿宋_GB2312"/>
      <w:i/>
      <w:iCs/>
      <w:sz w:val="32"/>
      <w:szCs w:val="32"/>
      <w:u w:val="single"/>
    </w:rPr>
  </w:style>
  <w:style w:type="paragraph" w:styleId="22">
    <w:name w:val="Body Text 2"/>
    <w:basedOn w:val="a"/>
    <w:pPr>
      <w:autoSpaceDE w:val="0"/>
      <w:autoSpaceDN w:val="0"/>
      <w:adjustRightInd w:val="0"/>
      <w:jc w:val="left"/>
    </w:pPr>
    <w:rPr>
      <w:kern w:val="0"/>
      <w:sz w:val="32"/>
      <w:szCs w:val="32"/>
    </w:rPr>
  </w:style>
  <w:style w:type="paragraph" w:styleId="ad">
    <w:name w:val="Normal (Web)"/>
    <w:basedOn w:val="a"/>
    <w:qFormat/>
    <w:pPr>
      <w:widowControl/>
      <w:spacing w:before="100" w:beforeAutospacing="1" w:after="100" w:afterAutospacing="1"/>
      <w:jc w:val="left"/>
    </w:pPr>
    <w:rPr>
      <w:rFonts w:ascii="宋体" w:hAnsi="宋体" w:hint="eastAsia"/>
      <w:kern w:val="0"/>
      <w:sz w:val="24"/>
      <w:szCs w:val="20"/>
    </w:rPr>
  </w:style>
  <w:style w:type="paragraph" w:styleId="ae">
    <w:name w:val="annotation subject"/>
    <w:basedOn w:val="a5"/>
    <w:next w:val="a5"/>
    <w:link w:val="Char3"/>
    <w:uiPriority w:val="99"/>
    <w:unhideWhenUsed/>
    <w:rPr>
      <w:b/>
      <w:bCs/>
    </w:rPr>
  </w:style>
  <w:style w:type="character" w:customStyle="1" w:styleId="Char3">
    <w:name w:val="批注主题 Char"/>
    <w:link w:val="ae"/>
    <w:uiPriority w:val="99"/>
    <w:rPr>
      <w:b/>
      <w:bCs/>
      <w:kern w:val="2"/>
      <w:sz w:val="21"/>
      <w:szCs w:val="24"/>
    </w:rPr>
  </w:style>
  <w:style w:type="paragraph" w:styleId="af">
    <w:name w:val="Body Text First Indent"/>
    <w:basedOn w:val="a6"/>
    <w:qFormat/>
    <w:pPr>
      <w:ind w:firstLine="420"/>
    </w:pPr>
  </w:style>
  <w:style w:type="table" w:styleId="af0">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1">
    <w:name w:val="Strong"/>
    <w:uiPriority w:val="22"/>
    <w:qFormat/>
    <w:rPr>
      <w:b/>
    </w:rPr>
  </w:style>
  <w:style w:type="character" w:styleId="af2">
    <w:name w:val="page number"/>
    <w:basedOn w:val="a0"/>
  </w:style>
  <w:style w:type="character" w:styleId="HTML">
    <w:name w:val="HTML Typewriter"/>
    <w:rPr>
      <w:rFonts w:ascii="宋体" w:eastAsia="宋体" w:hAnsi="宋体" w:cs="宋体"/>
      <w:sz w:val="24"/>
      <w:szCs w:val="24"/>
    </w:rPr>
  </w:style>
  <w:style w:type="character" w:styleId="af3">
    <w:name w:val="Hyperlink"/>
    <w:basedOn w:val="a0"/>
    <w:qFormat/>
    <w:rPr>
      <w:color w:val="0000FF"/>
      <w:u w:val="none"/>
    </w:rPr>
  </w:style>
  <w:style w:type="character" w:customStyle="1" w:styleId="23">
    <w:name w:val="正文文本 (2)_"/>
    <w:link w:val="24"/>
    <w:rPr>
      <w:rFonts w:ascii="MingLiU" w:eastAsia="MingLiU" w:hAnsi="MingLiU"/>
      <w:spacing w:val="20"/>
      <w:sz w:val="30"/>
      <w:szCs w:val="30"/>
      <w:shd w:val="clear" w:color="auto" w:fill="FFFFFF"/>
    </w:rPr>
  </w:style>
  <w:style w:type="paragraph" w:customStyle="1" w:styleId="24">
    <w:name w:val="正文文本 (2)"/>
    <w:basedOn w:val="a"/>
    <w:link w:val="23"/>
    <w:pPr>
      <w:shd w:val="clear" w:color="auto" w:fill="FFFFFF"/>
      <w:spacing w:after="840" w:line="240" w:lineRule="atLeast"/>
      <w:jc w:val="center"/>
    </w:pPr>
    <w:rPr>
      <w:rFonts w:ascii="MingLiU" w:eastAsia="MingLiU" w:hAnsi="MingLiU"/>
      <w:spacing w:val="20"/>
      <w:kern w:val="0"/>
      <w:sz w:val="30"/>
      <w:szCs w:val="30"/>
      <w:shd w:val="clear" w:color="auto" w:fill="FFFFFF"/>
    </w:rPr>
  </w:style>
  <w:style w:type="paragraph" w:customStyle="1" w:styleId="p18">
    <w:name w:val="p18"/>
    <w:basedOn w:val="a"/>
    <w:pPr>
      <w:widowControl/>
    </w:pPr>
    <w:rPr>
      <w:kern w:val="0"/>
      <w:szCs w:val="21"/>
    </w:rPr>
  </w:style>
  <w:style w:type="paragraph" w:customStyle="1" w:styleId="Default">
    <w:name w:val="Default"/>
    <w:pPr>
      <w:widowControl w:val="0"/>
      <w:autoSpaceDE w:val="0"/>
      <w:autoSpaceDN w:val="0"/>
      <w:adjustRightInd w:val="0"/>
    </w:pPr>
    <w:rPr>
      <w:rFonts w:ascii="方正小标宋简体" w:eastAsia="方正小标宋简体" w:cs="方正小标宋简体"/>
      <w:color w:val="000000"/>
      <w:sz w:val="24"/>
      <w:szCs w:val="24"/>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TOC1">
    <w:name w:val="TOC1"/>
    <w:next w:val="a"/>
    <w:qFormat/>
    <w:pPr>
      <w:snapToGrid w:val="0"/>
      <w:spacing w:line="640" w:lineRule="exact"/>
      <w:ind w:firstLine="705"/>
      <w:jc w:val="both"/>
      <w:textAlignment w:val="baseline"/>
    </w:pPr>
    <w:rPr>
      <w:rFonts w:ascii="仿宋_GB2312" w:eastAsia="仿宋_GB2312" w:hAnsi="Calibri"/>
      <w:color w:val="000000"/>
      <w:sz w:val="36"/>
      <w:szCs w:val="36"/>
      <w:lang w:eastAsia="en-US" w:bidi="en-US"/>
    </w:rPr>
  </w:style>
  <w:style w:type="paragraph" w:customStyle="1" w:styleId="Af4">
    <w:name w:val="A.方案正文"/>
    <w:basedOn w:val="a4"/>
    <w:qFormat/>
    <w:pPr>
      <w:widowControl/>
      <w:spacing w:line="360" w:lineRule="auto"/>
      <w:ind w:firstLine="200"/>
    </w:pPr>
    <w:rPr>
      <w:rFonts w:ascii="宋体" w:eastAsia="仿宋_GB2312" w:hAnsi="宋体" w:cs="宋体"/>
      <w:kern w:val="0"/>
      <w:sz w:val="32"/>
      <w:szCs w:val="20"/>
      <w:lang w:val="zh-CN"/>
    </w:rPr>
  </w:style>
  <w:style w:type="paragraph" w:customStyle="1" w:styleId="CharCharCharCharCharCharCharCharCharChar">
    <w:name w:val=" Char Char Char Char Char Char Char Char Char Char"/>
    <w:basedOn w:val="a"/>
    <w:rPr>
      <w:rFonts w:eastAsia="仿宋_GB2312"/>
      <w:sz w:val="32"/>
      <w:szCs w:val="20"/>
    </w:rPr>
  </w:style>
  <w:style w:type="paragraph" w:customStyle="1" w:styleId="Char4">
    <w:name w:val=" Char"/>
    <w:basedOn w:val="a"/>
    <w:pPr>
      <w:widowControl/>
      <w:spacing w:after="160" w:line="240" w:lineRule="exact"/>
      <w:jc w:val="left"/>
    </w:pPr>
    <w:rPr>
      <w:rFonts w:ascii="Verdana" w:hAnsi="Verdana"/>
      <w:kern w:val="0"/>
      <w:sz w:val="20"/>
      <w:szCs w:val="20"/>
      <w:lang w:eastAsia="en-US"/>
    </w:rPr>
  </w:style>
  <w:style w:type="paragraph" w:customStyle="1" w:styleId="Char5">
    <w:name w:val="Char"/>
    <w:basedOn w:val="a"/>
    <w:pPr>
      <w:ind w:firstLineChars="200" w:firstLine="640"/>
    </w:pPr>
    <w:rPr>
      <w:rFonts w:ascii="Tahoma" w:hAnsi="Tahoma"/>
      <w:sz w:val="24"/>
      <w:szCs w:val="20"/>
    </w:rPr>
  </w:style>
  <w:style w:type="paragraph" w:customStyle="1" w:styleId="CM4">
    <w:name w:val="CM4"/>
    <w:basedOn w:val="Default"/>
    <w:next w:val="Default"/>
    <w:pPr>
      <w:spacing w:line="540" w:lineRule="atLeast"/>
    </w:pPr>
    <w:rPr>
      <w:rFonts w:ascii="黑体" w:eastAsia="黑体" w:cs="黑体"/>
      <w:color w:val="auto"/>
    </w:rPr>
  </w:style>
  <w:style w:type="paragraph" w:customStyle="1" w:styleId="CharCharCharCharCharCharCharCharCharChar0">
    <w:name w:val="Char Char Char Char Char Char Char Char Char Char"/>
    <w:basedOn w:val="a"/>
    <w:rPr>
      <w:rFonts w:eastAsia="仿宋_GB2312"/>
      <w:sz w:val="32"/>
      <w:szCs w:val="20"/>
    </w:rPr>
  </w:style>
  <w:style w:type="paragraph" w:customStyle="1" w:styleId="p0">
    <w:name w:val="p0"/>
    <w:basedOn w:val="a"/>
    <w:pPr>
      <w:widowControl/>
    </w:pPr>
    <w:rPr>
      <w:kern w:val="0"/>
      <w:szCs w:val="21"/>
    </w:rPr>
  </w:style>
  <w:style w:type="paragraph" w:customStyle="1" w:styleId="Style4">
    <w:name w:val="_Style 4"/>
    <w:basedOn w:val="a"/>
    <w:pPr>
      <w:snapToGrid w:val="0"/>
      <w:spacing w:line="360" w:lineRule="auto"/>
      <w:ind w:firstLineChars="200" w:firstLine="200"/>
    </w:p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pPr>
      <w:widowControl w:val="0"/>
      <w:jc w:val="both"/>
    </w:pPr>
    <w:rPr>
      <w:rFonts w:ascii="仿宋_GB2312" w:eastAsia="仿宋_GB2312"/>
      <w:kern w:val="2"/>
      <w:sz w:val="32"/>
      <w:szCs w:val="24"/>
    </w:rPr>
  </w:style>
  <w:style w:type="paragraph" w:customStyle="1" w:styleId="af5">
    <w:name w:val="正文格式"/>
    <w:basedOn w:val="a"/>
    <w:qFormat/>
    <w:pPr>
      <w:widowControl/>
      <w:adjustRightInd w:val="0"/>
      <w:snapToGrid w:val="0"/>
      <w:spacing w:line="400" w:lineRule="atLeast"/>
      <w:ind w:firstLine="482"/>
      <w:textAlignment w:val="baseline"/>
    </w:pPr>
    <w:rPr>
      <w:kern w:val="0"/>
      <w:sz w:val="24"/>
    </w:rPr>
  </w:style>
  <w:style w:type="paragraph" w:customStyle="1" w:styleId="Bodytext1">
    <w:name w:val="Body text|1"/>
    <w:basedOn w:val="a"/>
    <w:qFormat/>
    <w:pPr>
      <w:spacing w:line="415" w:lineRule="auto"/>
      <w:ind w:firstLine="400"/>
    </w:pPr>
    <w:rPr>
      <w:rFonts w:ascii="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336</Words>
  <Characters>1919</Characters>
  <Application>Microsoft Office Word</Application>
  <DocSecurity>0</DocSecurity>
  <Lines>15</Lines>
  <Paragraphs>4</Paragraphs>
  <ScaleCrop>false</ScaleCrop>
  <Company>WwW.YlmF.CoM</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关于清理评比达标表彰活动工作方案</dc:title>
  <dc:creator>YlmF</dc:creator>
  <cp:lastModifiedBy>Administrator</cp:lastModifiedBy>
  <cp:revision>2</cp:revision>
  <cp:lastPrinted>2021-10-04T17:42:00Z</cp:lastPrinted>
  <dcterms:created xsi:type="dcterms:W3CDTF">2022-08-31T06:51:00Z</dcterms:created>
  <dcterms:modified xsi:type="dcterms:W3CDTF">2022-08-31T06:51:00Z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