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2E" w:rsidRDefault="009A322E" w:rsidP="009A322E">
      <w:pPr>
        <w:jc w:val="center"/>
        <w:rPr>
          <w:rFonts w:ascii="创艺简标宋" w:eastAsia="创艺简标宋" w:hAnsi="创艺简标宋" w:cs="黑体"/>
          <w:sz w:val="44"/>
          <w:szCs w:val="44"/>
        </w:rPr>
      </w:pPr>
    </w:p>
    <w:p w:rsidR="009A322E" w:rsidRDefault="009A322E" w:rsidP="009A322E">
      <w:pPr>
        <w:jc w:val="center"/>
        <w:rPr>
          <w:rFonts w:ascii="创艺简标宋" w:eastAsia="创艺简标宋" w:hAnsi="创艺简标宋" w:cs="黑体"/>
          <w:sz w:val="44"/>
          <w:szCs w:val="44"/>
        </w:rPr>
      </w:pPr>
    </w:p>
    <w:p w:rsidR="009A322E" w:rsidRDefault="009A322E" w:rsidP="009A322E">
      <w:pPr>
        <w:jc w:val="center"/>
        <w:rPr>
          <w:rFonts w:ascii="创艺简标宋" w:eastAsia="创艺简标宋" w:hAnsi="创艺简标宋" w:cs="黑体"/>
          <w:sz w:val="44"/>
          <w:szCs w:val="44"/>
        </w:rPr>
      </w:pPr>
      <w:bookmarkStart w:id="0" w:name="_GoBack"/>
      <w:bookmarkEnd w:id="0"/>
    </w:p>
    <w:p w:rsidR="009A322E" w:rsidRPr="0036057C" w:rsidRDefault="009A322E" w:rsidP="009A322E">
      <w:pPr>
        <w:jc w:val="center"/>
        <w:rPr>
          <w:rFonts w:ascii="创艺简标宋" w:eastAsia="创艺简标宋" w:hAnsi="创艺简标宋" w:cs="黑体"/>
          <w:sz w:val="44"/>
          <w:szCs w:val="44"/>
        </w:rPr>
      </w:pPr>
      <w:r w:rsidRPr="0036057C">
        <w:rPr>
          <w:rFonts w:ascii="创艺简标宋" w:eastAsia="创艺简标宋" w:hAnsi="创艺简标宋" w:cs="黑体" w:hint="eastAsia"/>
          <w:sz w:val="44"/>
          <w:szCs w:val="44"/>
        </w:rPr>
        <w:t>关于做好政府网站抽查有关工作的通知</w:t>
      </w:r>
    </w:p>
    <w:p w:rsidR="009A322E" w:rsidRDefault="009A322E" w:rsidP="009A322E">
      <w:pPr>
        <w:jc w:val="center"/>
        <w:rPr>
          <w:rFonts w:ascii="黑体" w:eastAsia="黑体" w:hAnsi="黑体" w:cs="黑体"/>
          <w:sz w:val="44"/>
          <w:szCs w:val="44"/>
        </w:rPr>
      </w:pPr>
    </w:p>
    <w:p w:rsidR="009A322E" w:rsidRDefault="009A322E" w:rsidP="009A322E">
      <w:pPr>
        <w:snapToGrid w:val="0"/>
        <w:spacing w:line="555" w:lineRule="atLeast"/>
        <w:rPr>
          <w:rFonts w:ascii="仿宋" w:eastAsia="仿宋" w:hAnsi="仿宋"/>
          <w:sz w:val="32"/>
          <w:szCs w:val="32"/>
        </w:rPr>
      </w:pPr>
      <w:r>
        <w:rPr>
          <w:rFonts w:ascii="仿宋" w:eastAsia="仿宋" w:hAnsi="仿宋" w:hint="eastAsia"/>
          <w:sz w:val="32"/>
          <w:szCs w:val="32"/>
        </w:rPr>
        <w:t>各区市人民政府办</w:t>
      </w:r>
      <w:r>
        <w:rPr>
          <w:rFonts w:ascii="仿宋" w:eastAsia="仿宋" w:hAnsi="仿宋"/>
          <w:sz w:val="32"/>
          <w:szCs w:val="32"/>
        </w:rPr>
        <w:t>公室</w:t>
      </w:r>
      <w:r>
        <w:rPr>
          <w:rFonts w:ascii="仿宋" w:eastAsia="仿宋" w:hAnsi="仿宋" w:hint="eastAsia"/>
          <w:sz w:val="32"/>
          <w:szCs w:val="32"/>
        </w:rPr>
        <w:t>，国家级开发区管委办</w:t>
      </w:r>
      <w:r>
        <w:rPr>
          <w:rFonts w:ascii="仿宋" w:eastAsia="仿宋" w:hAnsi="仿宋"/>
          <w:sz w:val="32"/>
          <w:szCs w:val="32"/>
        </w:rPr>
        <w:t>公室</w:t>
      </w:r>
      <w:r>
        <w:rPr>
          <w:rFonts w:ascii="仿宋" w:eastAsia="仿宋" w:hAnsi="仿宋" w:hint="eastAsia"/>
          <w:sz w:val="32"/>
          <w:szCs w:val="32"/>
        </w:rPr>
        <w:t>，南海新区管委办公</w:t>
      </w:r>
      <w:r>
        <w:rPr>
          <w:rFonts w:ascii="仿宋" w:eastAsia="仿宋" w:hAnsi="仿宋"/>
          <w:sz w:val="32"/>
          <w:szCs w:val="32"/>
        </w:rPr>
        <w:t>室</w:t>
      </w:r>
      <w:r>
        <w:rPr>
          <w:rFonts w:ascii="仿宋" w:eastAsia="仿宋" w:hAnsi="仿宋" w:hint="eastAsia"/>
          <w:sz w:val="32"/>
          <w:szCs w:val="32"/>
        </w:rPr>
        <w:t>，市政府各部门、单位办</w:t>
      </w:r>
      <w:r>
        <w:rPr>
          <w:rFonts w:ascii="仿宋" w:eastAsia="仿宋" w:hAnsi="仿宋"/>
          <w:sz w:val="32"/>
          <w:szCs w:val="32"/>
        </w:rPr>
        <w:t>公室</w:t>
      </w:r>
      <w:r>
        <w:rPr>
          <w:rFonts w:ascii="仿宋" w:eastAsia="仿宋" w:hAnsi="仿宋" w:hint="eastAsia"/>
          <w:sz w:val="32"/>
          <w:szCs w:val="32"/>
        </w:rPr>
        <w:t>：</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根据《山东省人民政府办公厅关于做好国办2016年第二次政府网站抽查通报网站整改工作的通知》、《山东省人民政府办公厅关于做好政府网站抽查有关工作的通知》要求，各地市要建立政府网站季度抽查机制。为做好我市政府网站日常抽查和监测工作，现将有关事项通知如下：</w:t>
      </w:r>
    </w:p>
    <w:p w:rsidR="009A322E" w:rsidRPr="00286376" w:rsidRDefault="009A322E" w:rsidP="009A322E">
      <w:pPr>
        <w:numPr>
          <w:ilvl w:val="0"/>
          <w:numId w:val="1"/>
        </w:numPr>
        <w:snapToGrid w:val="0"/>
        <w:spacing w:line="555" w:lineRule="atLeast"/>
        <w:ind w:firstLine="640"/>
        <w:rPr>
          <w:rFonts w:ascii="黑体" w:eastAsia="黑体" w:hAnsi="黑体"/>
          <w:sz w:val="32"/>
          <w:szCs w:val="32"/>
        </w:rPr>
      </w:pPr>
      <w:r w:rsidRPr="00286376">
        <w:rPr>
          <w:rFonts w:ascii="黑体" w:eastAsia="黑体" w:hAnsi="黑体" w:hint="eastAsia"/>
          <w:sz w:val="32"/>
          <w:szCs w:val="32"/>
        </w:rPr>
        <w:t>抽查组织和范围</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市政府办公室负责全市政府网站季度抽查工作的组织协调，</w:t>
      </w:r>
      <w:r w:rsidRPr="00286376">
        <w:rPr>
          <w:rFonts w:ascii="仿宋" w:eastAsia="仿宋" w:hAnsi="仿宋" w:hint="eastAsia"/>
          <w:sz w:val="32"/>
          <w:szCs w:val="32"/>
        </w:rPr>
        <w:t>市电子政务管理中心</w:t>
      </w:r>
      <w:r>
        <w:rPr>
          <w:rFonts w:ascii="仿宋" w:eastAsia="仿宋" w:hAnsi="仿宋" w:hint="eastAsia"/>
          <w:sz w:val="32"/>
          <w:szCs w:val="32"/>
        </w:rPr>
        <w:t>承担</w:t>
      </w:r>
      <w:r>
        <w:rPr>
          <w:rFonts w:ascii="仿宋" w:eastAsia="仿宋" w:hAnsi="仿宋"/>
          <w:sz w:val="32"/>
          <w:szCs w:val="32"/>
        </w:rPr>
        <w:t>具体作</w:t>
      </w:r>
      <w:r>
        <w:rPr>
          <w:rFonts w:ascii="仿宋" w:eastAsia="仿宋" w:hAnsi="仿宋" w:hint="eastAsia"/>
          <w:sz w:val="32"/>
          <w:szCs w:val="32"/>
        </w:rPr>
        <w:t>，负责抽查市直政府部门和各区市政府门户网站，并对各区市抽查结果组织复检复查，负责向省政府办公厅汇总报送全市抽查情况。</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自2016年第三季度起，按季度组织抽查。抽查范围以全国政府网站信息报送系统中的网站数据为依据，采取随机抽查方式，抽查数量不少于正常运行网站数的10%，每季度抽查网站的重复率不得高于10%。</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各区市范围内的政府网站季度抽查工作由各区市政府办公室负责组织（南海新区由文登区负责）。鉴于各区市部门、</w:t>
      </w:r>
      <w:r>
        <w:rPr>
          <w:rFonts w:ascii="仿宋" w:eastAsia="仿宋" w:hAnsi="仿宋"/>
          <w:sz w:val="32"/>
          <w:szCs w:val="32"/>
        </w:rPr>
        <w:t>镇街</w:t>
      </w:r>
      <w:r>
        <w:rPr>
          <w:rFonts w:ascii="仿宋" w:eastAsia="仿宋" w:hAnsi="仿宋" w:hint="eastAsia"/>
          <w:sz w:val="32"/>
          <w:szCs w:val="32"/>
        </w:rPr>
        <w:t>网站已大多并转上移至上级政府网站，区市每季度</w:t>
      </w:r>
      <w:r>
        <w:rPr>
          <w:rFonts w:ascii="仿宋" w:eastAsia="仿宋" w:hAnsi="仿宋" w:hint="eastAsia"/>
          <w:sz w:val="32"/>
          <w:szCs w:val="32"/>
        </w:rPr>
        <w:lastRenderedPageBreak/>
        <w:t>的抽查数量就是尚未并转网站的数量。</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政府各部门单位</w:t>
      </w:r>
      <w:r>
        <w:rPr>
          <w:rFonts w:ascii="仿宋" w:eastAsia="仿宋" w:hAnsi="仿宋" w:hint="eastAsia"/>
          <w:sz w:val="32"/>
          <w:szCs w:val="32"/>
        </w:rPr>
        <w:t>每</w:t>
      </w:r>
      <w:r>
        <w:rPr>
          <w:rFonts w:ascii="仿宋" w:eastAsia="仿宋" w:hAnsi="仿宋"/>
          <w:sz w:val="32"/>
          <w:szCs w:val="32"/>
        </w:rPr>
        <w:t>季度提前对</w:t>
      </w:r>
      <w:r>
        <w:rPr>
          <w:rFonts w:ascii="仿宋" w:eastAsia="仿宋" w:hAnsi="仿宋" w:hint="eastAsia"/>
          <w:sz w:val="32"/>
          <w:szCs w:val="32"/>
        </w:rPr>
        <w:t>政府</w:t>
      </w:r>
      <w:r>
        <w:rPr>
          <w:rFonts w:ascii="仿宋" w:eastAsia="仿宋" w:hAnsi="仿宋"/>
          <w:sz w:val="32"/>
          <w:szCs w:val="32"/>
        </w:rPr>
        <w:t>网站</w:t>
      </w:r>
      <w:r>
        <w:rPr>
          <w:rFonts w:ascii="仿宋" w:eastAsia="仿宋" w:hAnsi="仿宋" w:hint="eastAsia"/>
          <w:sz w:val="32"/>
          <w:szCs w:val="32"/>
        </w:rPr>
        <w:t>进行</w:t>
      </w:r>
      <w:r>
        <w:rPr>
          <w:rFonts w:ascii="仿宋" w:eastAsia="仿宋" w:hAnsi="仿宋"/>
          <w:sz w:val="32"/>
          <w:szCs w:val="32"/>
        </w:rPr>
        <w:t>全面检查，</w:t>
      </w:r>
      <w:r>
        <w:rPr>
          <w:rFonts w:ascii="仿宋" w:eastAsia="仿宋" w:hAnsi="仿宋" w:hint="eastAsia"/>
          <w:sz w:val="32"/>
          <w:szCs w:val="32"/>
        </w:rPr>
        <w:t>发</w:t>
      </w:r>
      <w:r>
        <w:rPr>
          <w:rFonts w:ascii="仿宋" w:eastAsia="仿宋" w:hAnsi="仿宋"/>
          <w:sz w:val="32"/>
          <w:szCs w:val="32"/>
        </w:rPr>
        <w:t>现问题及时整改，</w:t>
      </w:r>
      <w:r>
        <w:rPr>
          <w:rFonts w:ascii="仿宋" w:eastAsia="仿宋" w:hAnsi="仿宋" w:hint="eastAsia"/>
          <w:sz w:val="32"/>
          <w:szCs w:val="32"/>
        </w:rPr>
        <w:t>确保</w:t>
      </w:r>
      <w:r>
        <w:rPr>
          <w:rFonts w:ascii="仿宋" w:eastAsia="仿宋" w:hAnsi="仿宋"/>
          <w:sz w:val="32"/>
          <w:szCs w:val="32"/>
        </w:rPr>
        <w:t>网站</w:t>
      </w:r>
      <w:r>
        <w:rPr>
          <w:rFonts w:ascii="仿宋" w:eastAsia="仿宋" w:hAnsi="仿宋" w:hint="eastAsia"/>
          <w:sz w:val="32"/>
          <w:szCs w:val="32"/>
        </w:rPr>
        <w:t>健康</w:t>
      </w:r>
      <w:r>
        <w:rPr>
          <w:rFonts w:ascii="仿宋" w:eastAsia="仿宋" w:hAnsi="仿宋"/>
          <w:sz w:val="32"/>
          <w:szCs w:val="32"/>
        </w:rPr>
        <w:t>运行。</w:t>
      </w:r>
    </w:p>
    <w:p w:rsidR="009A322E" w:rsidRPr="00286376" w:rsidRDefault="009A322E" w:rsidP="009A322E">
      <w:pPr>
        <w:numPr>
          <w:ilvl w:val="0"/>
          <w:numId w:val="1"/>
        </w:numPr>
        <w:snapToGrid w:val="0"/>
        <w:spacing w:line="555" w:lineRule="atLeast"/>
        <w:ind w:firstLine="640"/>
        <w:rPr>
          <w:rFonts w:ascii="黑体" w:eastAsia="黑体" w:hAnsi="黑体"/>
          <w:sz w:val="32"/>
          <w:szCs w:val="32"/>
        </w:rPr>
      </w:pPr>
      <w:r w:rsidRPr="00286376">
        <w:rPr>
          <w:rFonts w:ascii="黑体" w:eastAsia="黑体" w:hAnsi="黑体" w:hint="eastAsia"/>
          <w:sz w:val="32"/>
          <w:szCs w:val="32"/>
        </w:rPr>
        <w:t>抽查内容和标准</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抽查按照《国务院办公厅关于开展第一次全国政府网站普查的通知》（国办发[2015]15号）确定的检查标准，重点检查网站可用性、信息更新情况、互动回应情况和服务实用性情况。如被抽查网站在检查期间出现“单项否决”指标中的任意一种情形，或各项指标累计扣分超过40分，则判定为“不合格”网站。</w:t>
      </w:r>
    </w:p>
    <w:p w:rsidR="009A322E" w:rsidRPr="00286376" w:rsidRDefault="009A322E" w:rsidP="009A322E">
      <w:pPr>
        <w:numPr>
          <w:ilvl w:val="0"/>
          <w:numId w:val="1"/>
        </w:numPr>
        <w:snapToGrid w:val="0"/>
        <w:spacing w:line="555" w:lineRule="atLeast"/>
        <w:ind w:firstLine="640"/>
        <w:rPr>
          <w:rFonts w:ascii="黑体" w:eastAsia="黑体" w:hAnsi="黑体"/>
          <w:sz w:val="32"/>
          <w:szCs w:val="32"/>
        </w:rPr>
      </w:pPr>
      <w:r w:rsidRPr="00286376">
        <w:rPr>
          <w:rFonts w:ascii="黑体" w:eastAsia="黑体" w:hAnsi="黑体" w:hint="eastAsia"/>
          <w:sz w:val="32"/>
          <w:szCs w:val="32"/>
        </w:rPr>
        <w:t>结果报送及使用</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我市网站季度抽查工作于每季度最后一个月15日前完成，各区市请于当月12日前将本季度网站名单及结果（模板见附件）、检查总体情况、发现的主要问题、有关网站整改情况和加强网站监管的做法等情况报送市电子政务管理中心（本季度2</w:t>
      </w:r>
      <w:r>
        <w:rPr>
          <w:rFonts w:ascii="仿宋" w:eastAsia="仿宋" w:hAnsi="仿宋"/>
          <w:sz w:val="32"/>
          <w:szCs w:val="32"/>
        </w:rPr>
        <w:t>2</w:t>
      </w:r>
      <w:r>
        <w:rPr>
          <w:rFonts w:ascii="仿宋" w:eastAsia="仿宋" w:hAnsi="仿宋" w:hint="eastAsia"/>
          <w:sz w:val="32"/>
          <w:szCs w:val="32"/>
        </w:rPr>
        <w:t>日报送），并同时完成整改。未按时反馈抽查情况的，视为该季度未正常组织抽查，视情况扣减网站日常考核相应分值（信息公开和绩效评估）。</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市直部门及区市门户网站本季度市级抽查不合格的暂不计入信息公开和绩效考核，下季度开始，将影响到网站日常考核成绩，将按（国办、省办、全市）三级抽查结果计分，具体标准待定。</w:t>
      </w:r>
    </w:p>
    <w:p w:rsidR="009A322E" w:rsidRPr="00286376" w:rsidRDefault="009A322E" w:rsidP="009A322E">
      <w:pPr>
        <w:numPr>
          <w:ilvl w:val="0"/>
          <w:numId w:val="1"/>
        </w:numPr>
        <w:snapToGrid w:val="0"/>
        <w:spacing w:line="555" w:lineRule="atLeast"/>
        <w:ind w:firstLine="640"/>
        <w:rPr>
          <w:rFonts w:ascii="黑体" w:eastAsia="黑体" w:hAnsi="黑体"/>
          <w:sz w:val="32"/>
          <w:szCs w:val="32"/>
        </w:rPr>
      </w:pPr>
      <w:r w:rsidRPr="00286376">
        <w:rPr>
          <w:rFonts w:ascii="黑体" w:eastAsia="黑体" w:hAnsi="黑体" w:hint="eastAsia"/>
          <w:sz w:val="32"/>
          <w:szCs w:val="32"/>
        </w:rPr>
        <w:t>其他要求</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在做好政府网站季度抽查工作的同时，要加强各级政府网站与中国政府网的协同联动，及时做好“我为政府网站找</w:t>
      </w:r>
      <w:r>
        <w:rPr>
          <w:rFonts w:ascii="仿宋" w:eastAsia="仿宋" w:hAnsi="仿宋" w:hint="eastAsia"/>
          <w:sz w:val="32"/>
          <w:szCs w:val="32"/>
        </w:rPr>
        <w:lastRenderedPageBreak/>
        <w:t>错”监督举报平台网民留言受理回复工作。做好存在严重问题网站的关停整改及全国政府网站信息报送系统有关数据核查更新工作。</w:t>
      </w: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有关文件资料请及时报送至市电子政务管理中心政务服务科邮箱：</w:t>
      </w:r>
      <w:hyperlink r:id="rId8" w:history="1">
        <w:r w:rsidRPr="00B2552A">
          <w:rPr>
            <w:rStyle w:val="a8"/>
            <w:rFonts w:ascii="仿宋" w:eastAsia="仿宋" w:hAnsi="仿宋" w:hint="eastAsia"/>
            <w:sz w:val="32"/>
            <w:szCs w:val="32"/>
          </w:rPr>
          <w:t>pucha@weihai.gov.cn</w:t>
        </w:r>
      </w:hyperlink>
      <w:r>
        <w:rPr>
          <w:rFonts w:ascii="仿宋" w:eastAsia="仿宋" w:hAnsi="仿宋"/>
          <w:sz w:val="32"/>
          <w:szCs w:val="32"/>
        </w:rPr>
        <w:t>。</w:t>
      </w:r>
    </w:p>
    <w:p w:rsidR="003839C0" w:rsidRDefault="003839C0" w:rsidP="003839C0">
      <w:pPr>
        <w:snapToGrid w:val="0"/>
        <w:spacing w:line="555" w:lineRule="atLeast"/>
        <w:ind w:firstLine="640"/>
        <w:rPr>
          <w:rFonts w:ascii="仿宋" w:eastAsia="仿宋" w:hAnsi="仿宋"/>
          <w:sz w:val="32"/>
          <w:szCs w:val="32"/>
        </w:rPr>
      </w:pPr>
      <w:r>
        <w:rPr>
          <w:rFonts w:ascii="仿宋" w:eastAsia="仿宋" w:hAnsi="仿宋" w:hint="eastAsia"/>
          <w:sz w:val="32"/>
          <w:szCs w:val="32"/>
        </w:rPr>
        <w:t>附件：XX年第X季度政府网站抽查情况表</w:t>
      </w:r>
    </w:p>
    <w:p w:rsidR="003839C0" w:rsidRDefault="003839C0" w:rsidP="003839C0">
      <w:pPr>
        <w:snapToGrid w:val="0"/>
        <w:spacing w:line="555" w:lineRule="atLeast"/>
        <w:ind w:firstLine="640"/>
        <w:rPr>
          <w:rFonts w:ascii="仿宋" w:eastAsia="仿宋" w:hAnsi="仿宋"/>
          <w:sz w:val="32"/>
          <w:szCs w:val="32"/>
        </w:rPr>
      </w:pPr>
    </w:p>
    <w:p w:rsidR="003839C0" w:rsidRDefault="003839C0" w:rsidP="003839C0">
      <w:pPr>
        <w:snapToGrid w:val="0"/>
        <w:spacing w:line="555" w:lineRule="atLeast"/>
        <w:ind w:firstLine="640"/>
        <w:rPr>
          <w:rFonts w:ascii="仿宋" w:eastAsia="仿宋" w:hAnsi="仿宋"/>
          <w:sz w:val="32"/>
          <w:szCs w:val="32"/>
        </w:rPr>
      </w:pPr>
    </w:p>
    <w:p w:rsidR="009A322E" w:rsidRDefault="009A322E" w:rsidP="009A322E">
      <w:pPr>
        <w:snapToGrid w:val="0"/>
        <w:spacing w:line="555" w:lineRule="atLeast"/>
        <w:ind w:firstLine="640"/>
        <w:rPr>
          <w:rFonts w:ascii="仿宋" w:eastAsia="仿宋" w:hAnsi="仿宋"/>
          <w:sz w:val="32"/>
          <w:szCs w:val="32"/>
        </w:rPr>
      </w:pPr>
      <w:r>
        <w:rPr>
          <w:rFonts w:ascii="仿宋" w:eastAsia="仿宋" w:hAnsi="仿宋" w:hint="eastAsia"/>
          <w:sz w:val="32"/>
          <w:szCs w:val="32"/>
        </w:rPr>
        <w:t>联系人</w:t>
      </w:r>
      <w:r>
        <w:rPr>
          <w:rFonts w:ascii="仿宋" w:eastAsia="仿宋" w:hAnsi="仿宋"/>
          <w:sz w:val="32"/>
          <w:szCs w:val="32"/>
        </w:rPr>
        <w:t>：李春燕</w:t>
      </w:r>
      <w:r>
        <w:rPr>
          <w:rFonts w:ascii="仿宋" w:eastAsia="仿宋" w:hAnsi="仿宋" w:hint="eastAsia"/>
          <w:sz w:val="32"/>
          <w:szCs w:val="32"/>
        </w:rPr>
        <w:t xml:space="preserve">        电话</w:t>
      </w:r>
      <w:r>
        <w:rPr>
          <w:rFonts w:ascii="仿宋" w:eastAsia="仿宋" w:hAnsi="仿宋"/>
          <w:sz w:val="32"/>
          <w:szCs w:val="32"/>
        </w:rPr>
        <w:t>：</w:t>
      </w:r>
      <w:r>
        <w:rPr>
          <w:rFonts w:ascii="仿宋" w:eastAsia="仿宋" w:hAnsi="仿宋" w:hint="eastAsia"/>
          <w:sz w:val="32"/>
          <w:szCs w:val="32"/>
        </w:rPr>
        <w:t>3858938</w:t>
      </w:r>
    </w:p>
    <w:p w:rsidR="009A322E" w:rsidRDefault="009A322E" w:rsidP="009A322E">
      <w:pPr>
        <w:snapToGrid w:val="0"/>
        <w:spacing w:line="555" w:lineRule="atLeast"/>
        <w:ind w:firstLine="640"/>
        <w:rPr>
          <w:rFonts w:ascii="仿宋" w:eastAsia="仿宋" w:hAnsi="仿宋"/>
          <w:sz w:val="32"/>
          <w:szCs w:val="32"/>
        </w:rPr>
      </w:pPr>
    </w:p>
    <w:p w:rsidR="009A322E" w:rsidRDefault="009A322E" w:rsidP="009A322E">
      <w:pPr>
        <w:snapToGrid w:val="0"/>
        <w:spacing w:line="555" w:lineRule="atLeast"/>
        <w:ind w:firstLine="640"/>
        <w:rPr>
          <w:rFonts w:ascii="仿宋" w:eastAsia="仿宋" w:hAnsi="仿宋"/>
          <w:sz w:val="32"/>
          <w:szCs w:val="32"/>
        </w:rPr>
      </w:pPr>
    </w:p>
    <w:p w:rsidR="009A322E" w:rsidRDefault="009A322E" w:rsidP="009A322E">
      <w:pPr>
        <w:snapToGrid w:val="0"/>
        <w:spacing w:line="555" w:lineRule="atLeast"/>
        <w:rPr>
          <w:rFonts w:ascii="仿宋" w:eastAsia="仿宋" w:hAnsi="仿宋"/>
          <w:sz w:val="32"/>
          <w:szCs w:val="32"/>
        </w:rPr>
      </w:pPr>
      <w:r>
        <w:rPr>
          <w:rFonts w:ascii="仿宋" w:eastAsia="仿宋" w:hAnsi="仿宋" w:hint="eastAsia"/>
          <w:sz w:val="32"/>
          <w:szCs w:val="32"/>
        </w:rPr>
        <w:t xml:space="preserve">   </w:t>
      </w:r>
      <w:r w:rsidR="006672BF">
        <w:rPr>
          <w:rFonts w:ascii="仿宋" w:eastAsia="仿宋" w:hAnsi="仿宋" w:hint="eastAsia"/>
          <w:sz w:val="32"/>
          <w:szCs w:val="32"/>
        </w:rPr>
        <w:t xml:space="preserve">                         </w:t>
      </w:r>
      <w:r>
        <w:rPr>
          <w:rFonts w:ascii="仿宋" w:eastAsia="仿宋" w:hAnsi="仿宋" w:hint="eastAsia"/>
          <w:sz w:val="32"/>
          <w:szCs w:val="32"/>
        </w:rPr>
        <w:t>威海市电子</w:t>
      </w:r>
      <w:r>
        <w:rPr>
          <w:rFonts w:ascii="仿宋" w:eastAsia="仿宋" w:hAnsi="仿宋"/>
          <w:sz w:val="32"/>
          <w:szCs w:val="32"/>
        </w:rPr>
        <w:t>政务</w:t>
      </w:r>
      <w:r>
        <w:rPr>
          <w:rFonts w:ascii="仿宋" w:eastAsia="仿宋" w:hAnsi="仿宋" w:hint="eastAsia"/>
          <w:sz w:val="32"/>
          <w:szCs w:val="32"/>
        </w:rPr>
        <w:t>管理</w:t>
      </w:r>
      <w:r>
        <w:rPr>
          <w:rFonts w:ascii="仿宋" w:eastAsia="仿宋" w:hAnsi="仿宋"/>
          <w:sz w:val="32"/>
          <w:szCs w:val="32"/>
        </w:rPr>
        <w:t>中心</w:t>
      </w:r>
    </w:p>
    <w:p w:rsidR="009A322E" w:rsidRDefault="009A322E" w:rsidP="009A322E">
      <w:pPr>
        <w:snapToGrid w:val="0"/>
        <w:spacing w:line="555" w:lineRule="atLeast"/>
        <w:rPr>
          <w:rFonts w:ascii="仿宋" w:eastAsia="仿宋" w:hAnsi="仿宋"/>
          <w:sz w:val="32"/>
          <w:szCs w:val="32"/>
        </w:rPr>
      </w:pPr>
      <w:r>
        <w:rPr>
          <w:rFonts w:ascii="仿宋" w:eastAsia="仿宋" w:hAnsi="仿宋" w:hint="eastAsia"/>
          <w:sz w:val="32"/>
          <w:szCs w:val="32"/>
        </w:rPr>
        <w:t xml:space="preserve"> </w:t>
      </w:r>
      <w:r w:rsidR="006672BF">
        <w:rPr>
          <w:rFonts w:ascii="仿宋" w:eastAsia="仿宋" w:hAnsi="仿宋" w:hint="eastAsia"/>
          <w:sz w:val="32"/>
          <w:szCs w:val="32"/>
        </w:rPr>
        <w:t xml:space="preserve">                              </w:t>
      </w:r>
      <w:r>
        <w:rPr>
          <w:rFonts w:ascii="仿宋" w:eastAsia="仿宋" w:hAnsi="仿宋" w:hint="eastAsia"/>
          <w:sz w:val="32"/>
          <w:szCs w:val="32"/>
        </w:rPr>
        <w:t>2016年9月1</w:t>
      </w:r>
      <w:r w:rsidR="003839C0">
        <w:rPr>
          <w:rFonts w:ascii="仿宋" w:eastAsia="仿宋" w:hAnsi="仿宋"/>
          <w:sz w:val="32"/>
          <w:szCs w:val="32"/>
        </w:rPr>
        <w:t>8</w:t>
      </w:r>
      <w:r>
        <w:rPr>
          <w:rFonts w:ascii="仿宋" w:eastAsia="仿宋" w:hAnsi="仿宋" w:hint="eastAsia"/>
          <w:sz w:val="32"/>
          <w:szCs w:val="32"/>
        </w:rPr>
        <w:t>日</w:t>
      </w:r>
    </w:p>
    <w:p w:rsidR="00011CB0" w:rsidRDefault="00011CB0" w:rsidP="00011CB0">
      <w:pPr>
        <w:widowControl/>
        <w:jc w:val="left"/>
        <w:rPr>
          <w:rFonts w:ascii="仿宋" w:eastAsia="仿宋" w:hAnsi="仿宋"/>
          <w:sz w:val="32"/>
          <w:szCs w:val="32"/>
        </w:rPr>
        <w:sectPr w:rsidR="00011CB0">
          <w:pgSz w:w="11906" w:h="16838"/>
          <w:pgMar w:top="1440" w:right="1800" w:bottom="1440" w:left="1800" w:header="851" w:footer="992" w:gutter="0"/>
          <w:cols w:space="425"/>
          <w:docGrid w:type="lines" w:linePitch="312"/>
        </w:sectPr>
      </w:pPr>
    </w:p>
    <w:p w:rsidR="008C113A" w:rsidRPr="008C113A" w:rsidRDefault="008C113A" w:rsidP="00A96194">
      <w:pPr>
        <w:rPr>
          <w:rFonts w:ascii="仿宋" w:eastAsia="仿宋" w:hAnsi="仿宋"/>
          <w:bCs/>
          <w:sz w:val="32"/>
          <w:szCs w:val="32"/>
        </w:rPr>
      </w:pPr>
      <w:r w:rsidRPr="008C113A">
        <w:rPr>
          <w:rFonts w:ascii="仿宋" w:eastAsia="仿宋" w:hAnsi="仿宋" w:hint="eastAsia"/>
          <w:bCs/>
          <w:sz w:val="32"/>
          <w:szCs w:val="32"/>
        </w:rPr>
        <w:lastRenderedPageBreak/>
        <w:t>附件</w:t>
      </w:r>
    </w:p>
    <w:p w:rsidR="008C113A" w:rsidRDefault="008C113A" w:rsidP="008C113A">
      <w:pPr>
        <w:jc w:val="center"/>
        <w:rPr>
          <w:rFonts w:ascii="黑体" w:eastAsia="黑体" w:hAnsi="黑体"/>
          <w:bCs/>
          <w:sz w:val="36"/>
          <w:szCs w:val="36"/>
        </w:rPr>
      </w:pPr>
      <w:r w:rsidRPr="008C113A">
        <w:rPr>
          <w:rFonts w:ascii="黑体" w:eastAsia="黑体" w:hAnsi="黑体" w:hint="eastAsia"/>
          <w:bCs/>
          <w:sz w:val="36"/>
          <w:szCs w:val="36"/>
        </w:rPr>
        <w:t>XX年第X季度政府网站抽查情况表</w:t>
      </w:r>
    </w:p>
    <w:p w:rsidR="008C113A" w:rsidRPr="008C113A" w:rsidRDefault="008C113A" w:rsidP="008C113A">
      <w:pPr>
        <w:jc w:val="left"/>
        <w:rPr>
          <w:rFonts w:ascii="黑体" w:eastAsia="黑体" w:hAnsi="黑体"/>
          <w:sz w:val="40"/>
          <w:szCs w:val="36"/>
        </w:rPr>
      </w:pPr>
      <w:r w:rsidRPr="008C113A">
        <w:rPr>
          <w:rFonts w:asciiTheme="minorEastAsia" w:hAnsiTheme="minorEastAsia" w:hint="eastAsia"/>
          <w:sz w:val="28"/>
          <w:szCs w:val="32"/>
        </w:rPr>
        <w:t>填报单位：                                       采样时间：    年  月  日至  月  日</w:t>
      </w:r>
    </w:p>
    <w:tbl>
      <w:tblPr>
        <w:tblStyle w:val="a6"/>
        <w:tblW w:w="0" w:type="auto"/>
        <w:jc w:val="center"/>
        <w:tblLook w:val="04A0"/>
      </w:tblPr>
      <w:tblGrid>
        <w:gridCol w:w="766"/>
        <w:gridCol w:w="1442"/>
        <w:gridCol w:w="2240"/>
        <w:gridCol w:w="998"/>
        <w:gridCol w:w="2377"/>
        <w:gridCol w:w="950"/>
        <w:gridCol w:w="3382"/>
        <w:gridCol w:w="2019"/>
      </w:tblGrid>
      <w:tr w:rsidR="008C113A" w:rsidRPr="008C113A" w:rsidTr="008C113A">
        <w:trPr>
          <w:trHeight w:val="934"/>
          <w:jc w:val="center"/>
        </w:trPr>
        <w:tc>
          <w:tcPr>
            <w:tcW w:w="766"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序号</w:t>
            </w:r>
          </w:p>
        </w:tc>
        <w:tc>
          <w:tcPr>
            <w:tcW w:w="1442"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网站标识码</w:t>
            </w:r>
          </w:p>
        </w:tc>
        <w:tc>
          <w:tcPr>
            <w:tcW w:w="2240"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网站名称</w:t>
            </w:r>
          </w:p>
        </w:tc>
        <w:tc>
          <w:tcPr>
            <w:tcW w:w="998"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是否</w:t>
            </w:r>
          </w:p>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为门户</w:t>
            </w:r>
          </w:p>
        </w:tc>
        <w:tc>
          <w:tcPr>
            <w:tcW w:w="2377"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首页地址</w:t>
            </w:r>
          </w:p>
        </w:tc>
        <w:tc>
          <w:tcPr>
            <w:tcW w:w="950"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结果</w:t>
            </w:r>
          </w:p>
        </w:tc>
        <w:tc>
          <w:tcPr>
            <w:tcW w:w="3382"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抽查发现的突出问题</w:t>
            </w:r>
          </w:p>
        </w:tc>
        <w:tc>
          <w:tcPr>
            <w:tcW w:w="2019" w:type="dxa"/>
            <w:noWrap/>
            <w:vAlign w:val="center"/>
            <w:hideMark/>
          </w:tcPr>
          <w:p w:rsidR="008C113A" w:rsidRPr="008C113A" w:rsidRDefault="008C113A" w:rsidP="008C113A">
            <w:pPr>
              <w:snapToGrid w:val="0"/>
              <w:jc w:val="center"/>
              <w:rPr>
                <w:rFonts w:asciiTheme="minorEastAsia" w:hAnsiTheme="minorEastAsia"/>
                <w:sz w:val="24"/>
                <w:szCs w:val="32"/>
              </w:rPr>
            </w:pPr>
            <w:r w:rsidRPr="008C113A">
              <w:rPr>
                <w:rFonts w:asciiTheme="minorEastAsia" w:hAnsiTheme="minorEastAsia" w:hint="eastAsia"/>
                <w:sz w:val="24"/>
                <w:szCs w:val="32"/>
              </w:rPr>
              <w:t>是否已经整改</w:t>
            </w:r>
          </w:p>
        </w:tc>
      </w:tr>
      <w:tr w:rsidR="008C113A" w:rsidRPr="008C113A" w:rsidTr="008C113A">
        <w:trPr>
          <w:trHeight w:val="934"/>
          <w:jc w:val="center"/>
        </w:trPr>
        <w:tc>
          <w:tcPr>
            <w:tcW w:w="766" w:type="dxa"/>
            <w:noWrap/>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1</w:t>
            </w:r>
          </w:p>
        </w:tc>
        <w:tc>
          <w:tcPr>
            <w:tcW w:w="1442" w:type="dxa"/>
            <w:noWrap/>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XXX</w:t>
            </w:r>
          </w:p>
        </w:tc>
        <w:tc>
          <w:tcPr>
            <w:tcW w:w="2240" w:type="dxa"/>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与全国政府网站信息报送系统中网站名称一致</w:t>
            </w:r>
          </w:p>
        </w:tc>
        <w:tc>
          <w:tcPr>
            <w:tcW w:w="998" w:type="dxa"/>
            <w:noWrap/>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是/否</w:t>
            </w:r>
          </w:p>
        </w:tc>
        <w:tc>
          <w:tcPr>
            <w:tcW w:w="2377" w:type="dxa"/>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与全国政府网站信息报送系统中网站地址一致</w:t>
            </w:r>
          </w:p>
        </w:tc>
        <w:tc>
          <w:tcPr>
            <w:tcW w:w="950" w:type="dxa"/>
            <w:noWrap/>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合格/不合格</w:t>
            </w:r>
          </w:p>
        </w:tc>
        <w:tc>
          <w:tcPr>
            <w:tcW w:w="3382" w:type="dxa"/>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仅不合格网站填写，须依据国办发〔2015〕15号文件确定的检查标准填写</w:t>
            </w:r>
          </w:p>
        </w:tc>
        <w:tc>
          <w:tcPr>
            <w:tcW w:w="2019" w:type="dxa"/>
            <w:noWrap/>
            <w:vAlign w:val="center"/>
            <w:hideMark/>
          </w:tcPr>
          <w:p w:rsidR="008C113A" w:rsidRPr="008C113A" w:rsidRDefault="008C113A" w:rsidP="008C113A">
            <w:pPr>
              <w:snapToGrid w:val="0"/>
              <w:rPr>
                <w:rFonts w:asciiTheme="minorEastAsia" w:hAnsiTheme="minorEastAsia"/>
                <w:sz w:val="24"/>
                <w:szCs w:val="32"/>
              </w:rPr>
            </w:pPr>
            <w:r w:rsidRPr="008C113A">
              <w:rPr>
                <w:rFonts w:asciiTheme="minorEastAsia" w:hAnsiTheme="minorEastAsia" w:hint="eastAsia"/>
                <w:sz w:val="24"/>
                <w:szCs w:val="32"/>
              </w:rPr>
              <w:t>是/否（说明原因）</w:t>
            </w:r>
          </w:p>
        </w:tc>
      </w:tr>
      <w:tr w:rsidR="008C113A" w:rsidRPr="008C113A" w:rsidTr="008C113A">
        <w:trPr>
          <w:trHeight w:val="934"/>
          <w:jc w:val="center"/>
        </w:trPr>
        <w:tc>
          <w:tcPr>
            <w:tcW w:w="766"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c>
          <w:tcPr>
            <w:tcW w:w="1442"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c>
          <w:tcPr>
            <w:tcW w:w="2240"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c>
          <w:tcPr>
            <w:tcW w:w="998"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c>
          <w:tcPr>
            <w:tcW w:w="2377"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c>
          <w:tcPr>
            <w:tcW w:w="950"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c>
          <w:tcPr>
            <w:tcW w:w="3382"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c>
          <w:tcPr>
            <w:tcW w:w="2019" w:type="dxa"/>
            <w:noWrap/>
            <w:vAlign w:val="center"/>
            <w:hideMark/>
          </w:tcPr>
          <w:p w:rsidR="008C113A" w:rsidRPr="008C113A" w:rsidRDefault="008C113A" w:rsidP="008C113A">
            <w:pPr>
              <w:snapToGrid w:val="0"/>
              <w:rPr>
                <w:rFonts w:asciiTheme="minorEastAsia" w:hAnsiTheme="minorEastAsia"/>
                <w:sz w:val="28"/>
                <w:szCs w:val="32"/>
              </w:rPr>
            </w:pPr>
            <w:r w:rsidRPr="008C113A">
              <w:rPr>
                <w:rFonts w:asciiTheme="minorEastAsia" w:hAnsiTheme="minorEastAsia" w:hint="eastAsia"/>
                <w:sz w:val="28"/>
                <w:szCs w:val="32"/>
              </w:rPr>
              <w:t xml:space="preserve">　</w:t>
            </w:r>
          </w:p>
        </w:tc>
      </w:tr>
      <w:tr w:rsidR="008C113A" w:rsidRPr="008C113A" w:rsidTr="008C113A">
        <w:trPr>
          <w:trHeight w:val="934"/>
          <w:jc w:val="center"/>
        </w:trPr>
        <w:tc>
          <w:tcPr>
            <w:tcW w:w="766"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1442"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240"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998"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377"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950"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3382"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019"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r>
      <w:tr w:rsidR="008C113A" w:rsidRPr="008C113A" w:rsidTr="008C113A">
        <w:trPr>
          <w:trHeight w:val="934"/>
          <w:jc w:val="center"/>
        </w:trPr>
        <w:tc>
          <w:tcPr>
            <w:tcW w:w="766"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1442"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240"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998"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377"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950"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3382"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019"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r>
      <w:tr w:rsidR="008C113A" w:rsidRPr="008C113A" w:rsidTr="008C113A">
        <w:trPr>
          <w:trHeight w:val="934"/>
          <w:jc w:val="center"/>
        </w:trPr>
        <w:tc>
          <w:tcPr>
            <w:tcW w:w="766"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1442"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240"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998"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377"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950"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3382"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c>
          <w:tcPr>
            <w:tcW w:w="2019" w:type="dxa"/>
            <w:noWrap/>
            <w:vAlign w:val="center"/>
            <w:hideMark/>
          </w:tcPr>
          <w:p w:rsidR="008C113A" w:rsidRPr="008C113A" w:rsidRDefault="008C113A" w:rsidP="008C113A">
            <w:pPr>
              <w:snapToGrid w:val="0"/>
              <w:spacing w:line="555" w:lineRule="atLeast"/>
              <w:rPr>
                <w:rFonts w:asciiTheme="minorEastAsia" w:hAnsiTheme="minorEastAsia"/>
                <w:sz w:val="28"/>
                <w:szCs w:val="32"/>
              </w:rPr>
            </w:pPr>
            <w:r w:rsidRPr="008C113A">
              <w:rPr>
                <w:rFonts w:asciiTheme="minorEastAsia" w:hAnsiTheme="minorEastAsia" w:hint="eastAsia"/>
                <w:sz w:val="28"/>
                <w:szCs w:val="32"/>
              </w:rPr>
              <w:t xml:space="preserve">　</w:t>
            </w:r>
          </w:p>
        </w:tc>
      </w:tr>
    </w:tbl>
    <w:p w:rsidR="00102EE1" w:rsidRDefault="00102EE1">
      <w:pPr>
        <w:snapToGrid w:val="0"/>
        <w:spacing w:line="555" w:lineRule="atLeast"/>
        <w:rPr>
          <w:rFonts w:ascii="仿宋" w:eastAsia="仿宋" w:hAnsi="仿宋"/>
          <w:sz w:val="32"/>
          <w:szCs w:val="32"/>
        </w:rPr>
      </w:pPr>
    </w:p>
    <w:sectPr w:rsidR="00102EE1" w:rsidSect="00011CB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5F" w:rsidRDefault="00E4245F" w:rsidP="008C113A">
      <w:r>
        <w:separator/>
      </w:r>
    </w:p>
  </w:endnote>
  <w:endnote w:type="continuationSeparator" w:id="1">
    <w:p w:rsidR="00E4245F" w:rsidRDefault="00E4245F" w:rsidP="008C1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5F" w:rsidRDefault="00E4245F" w:rsidP="008C113A">
      <w:r>
        <w:separator/>
      </w:r>
    </w:p>
  </w:footnote>
  <w:footnote w:type="continuationSeparator" w:id="1">
    <w:p w:rsidR="00E4245F" w:rsidRDefault="00E4245F" w:rsidP="008C1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4F3"/>
    <w:multiLevelType w:val="hybridMultilevel"/>
    <w:tmpl w:val="6018F11E"/>
    <w:lvl w:ilvl="0" w:tplc="5D44862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2517B19"/>
    <w:multiLevelType w:val="hybridMultilevel"/>
    <w:tmpl w:val="4BB02C8E"/>
    <w:lvl w:ilvl="0" w:tplc="CDF601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26F6087"/>
    <w:multiLevelType w:val="hybridMultilevel"/>
    <w:tmpl w:val="A20C2788"/>
    <w:lvl w:ilvl="0" w:tplc="4FCEE2F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7DA0B1F"/>
    <w:multiLevelType w:val="singleLevel"/>
    <w:tmpl w:val="57DA0B1F"/>
    <w:lvl w:ilvl="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4C7391"/>
    <w:rsid w:val="00010612"/>
    <w:rsid w:val="00011CB0"/>
    <w:rsid w:val="00090ADA"/>
    <w:rsid w:val="00102EE1"/>
    <w:rsid w:val="001D11B0"/>
    <w:rsid w:val="00206EAC"/>
    <w:rsid w:val="0036057C"/>
    <w:rsid w:val="003839C0"/>
    <w:rsid w:val="004D646C"/>
    <w:rsid w:val="005215A7"/>
    <w:rsid w:val="005B3C05"/>
    <w:rsid w:val="006672BF"/>
    <w:rsid w:val="006D792E"/>
    <w:rsid w:val="00853A14"/>
    <w:rsid w:val="008C113A"/>
    <w:rsid w:val="009A322E"/>
    <w:rsid w:val="00A82FFD"/>
    <w:rsid w:val="00A96194"/>
    <w:rsid w:val="00D418EC"/>
    <w:rsid w:val="00E02DC9"/>
    <w:rsid w:val="00E4245F"/>
    <w:rsid w:val="00E44214"/>
    <w:rsid w:val="00F92ADF"/>
    <w:rsid w:val="1AA87F19"/>
    <w:rsid w:val="42C93DF4"/>
    <w:rsid w:val="724C7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A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E02DC9"/>
    <w:pPr>
      <w:ind w:firstLineChars="200" w:firstLine="420"/>
    </w:pPr>
  </w:style>
  <w:style w:type="paragraph" w:styleId="a4">
    <w:name w:val="header"/>
    <w:basedOn w:val="a"/>
    <w:link w:val="Char"/>
    <w:rsid w:val="008C1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C113A"/>
    <w:rPr>
      <w:kern w:val="2"/>
      <w:sz w:val="18"/>
      <w:szCs w:val="18"/>
    </w:rPr>
  </w:style>
  <w:style w:type="paragraph" w:styleId="a5">
    <w:name w:val="footer"/>
    <w:basedOn w:val="a"/>
    <w:link w:val="Char0"/>
    <w:rsid w:val="008C113A"/>
    <w:pPr>
      <w:tabs>
        <w:tab w:val="center" w:pos="4153"/>
        <w:tab w:val="right" w:pos="8306"/>
      </w:tabs>
      <w:snapToGrid w:val="0"/>
      <w:jc w:val="left"/>
    </w:pPr>
    <w:rPr>
      <w:sz w:val="18"/>
      <w:szCs w:val="18"/>
    </w:rPr>
  </w:style>
  <w:style w:type="character" w:customStyle="1" w:styleId="Char0">
    <w:name w:val="页脚 Char"/>
    <w:basedOn w:val="a0"/>
    <w:link w:val="a5"/>
    <w:rsid w:val="008C113A"/>
    <w:rPr>
      <w:kern w:val="2"/>
      <w:sz w:val="18"/>
      <w:szCs w:val="18"/>
    </w:rPr>
  </w:style>
  <w:style w:type="table" w:styleId="a6">
    <w:name w:val="Table Grid"/>
    <w:basedOn w:val="a1"/>
    <w:rsid w:val="008C1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rsid w:val="008C113A"/>
    <w:pPr>
      <w:ind w:leftChars="2500" w:left="100"/>
    </w:pPr>
  </w:style>
  <w:style w:type="character" w:customStyle="1" w:styleId="Char1">
    <w:name w:val="日期 Char"/>
    <w:basedOn w:val="a0"/>
    <w:link w:val="a7"/>
    <w:rsid w:val="008C113A"/>
    <w:rPr>
      <w:kern w:val="2"/>
      <w:sz w:val="21"/>
      <w:szCs w:val="24"/>
    </w:rPr>
  </w:style>
  <w:style w:type="character" w:styleId="a8">
    <w:name w:val="Hyperlink"/>
    <w:basedOn w:val="a0"/>
    <w:rsid w:val="0036057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86652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cha@weihai.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238</Words>
  <Characters>1360</Characters>
  <Application>Microsoft Office Word</Application>
  <DocSecurity>0</DocSecurity>
  <Lines>11</Lines>
  <Paragraphs>3</Paragraphs>
  <ScaleCrop>false</ScaleCrop>
  <Company>微软中国</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dc:creator>
  <cp:lastModifiedBy>Administrator</cp:lastModifiedBy>
  <cp:revision>4</cp:revision>
  <cp:lastPrinted>2016-09-18T03:03:00Z</cp:lastPrinted>
  <dcterms:created xsi:type="dcterms:W3CDTF">2016-09-18T02:30:00Z</dcterms:created>
  <dcterms:modified xsi:type="dcterms:W3CDTF">2016-09-18T03:05:00Z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